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A7" w:rsidRPr="00EB33FD" w:rsidRDefault="00784F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6" type="#_x0000_t75" style="position:absolute;left:0;text-align:left;margin-left:201.6pt;margin-top:-7.2pt;width:86.4pt;height:1in;z-index:251657728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03749047" r:id="rId9"/>
        </w:pict>
      </w:r>
    </w:p>
    <w:p w:rsidR="001064A7" w:rsidRPr="00EB33FD" w:rsidRDefault="001064A7">
      <w:pPr>
        <w:jc w:val="center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William W. Wade</w:t>
      </w:r>
    </w:p>
    <w:p w:rsidR="001064A7" w:rsidRPr="00EB33FD" w:rsidRDefault="00120C65">
      <w:pPr>
        <w:jc w:val="center"/>
        <w:rPr>
          <w:rFonts w:ascii="Arial" w:hAnsi="Arial" w:cs="Arial"/>
          <w:b/>
          <w:sz w:val="22"/>
          <w:szCs w:val="22"/>
        </w:rPr>
      </w:pPr>
      <w:r w:rsidRPr="00EB33FD">
        <w:rPr>
          <w:rFonts w:ascii="Arial" w:hAnsi="Arial" w:cs="Arial"/>
          <w:b/>
          <w:i/>
          <w:sz w:val="22"/>
          <w:szCs w:val="22"/>
        </w:rPr>
        <w:t xml:space="preserve">General Litigation &amp; </w:t>
      </w:r>
      <w:r w:rsidR="001064A7" w:rsidRPr="00EB33FD">
        <w:rPr>
          <w:rFonts w:ascii="Arial" w:hAnsi="Arial" w:cs="Arial"/>
          <w:b/>
          <w:i/>
          <w:sz w:val="22"/>
          <w:szCs w:val="22"/>
        </w:rPr>
        <w:t>Regulatory Takings Resume</w:t>
      </w:r>
    </w:p>
    <w:p w:rsidR="001064A7" w:rsidRPr="00EB33FD" w:rsidRDefault="001064A7">
      <w:pPr>
        <w:jc w:val="center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Energy and Water Economics</w:t>
      </w:r>
    </w:p>
    <w:p w:rsidR="001064A7" w:rsidRPr="00EB33FD" w:rsidRDefault="005D12AD">
      <w:pPr>
        <w:jc w:val="center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1021 Riverview Drive, Suite 204</w:t>
      </w:r>
    </w:p>
    <w:p w:rsidR="001064A7" w:rsidRPr="00EB33FD" w:rsidRDefault="005D12AD">
      <w:pPr>
        <w:jc w:val="center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615-628-8731</w:t>
      </w:r>
    </w:p>
    <w:p w:rsidR="001064A7" w:rsidRPr="00EB33FD" w:rsidRDefault="001064A7">
      <w:pPr>
        <w:jc w:val="center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wade@energyandwatereconomics.com</w:t>
      </w:r>
    </w:p>
    <w:p w:rsidR="00685E23" w:rsidRPr="00EB33FD" w:rsidRDefault="00685E23" w:rsidP="00CB2CD1">
      <w:pPr>
        <w:tabs>
          <w:tab w:val="left" w:pos="-720"/>
        </w:tabs>
        <w:suppressAutoHyphens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CB2CD1" w:rsidRPr="00EB33FD" w:rsidRDefault="00CB2CD1" w:rsidP="00CB2CD1">
      <w:pPr>
        <w:tabs>
          <w:tab w:val="left" w:pos="-720"/>
        </w:tabs>
        <w:suppressAutoHyphens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EB33FD">
        <w:rPr>
          <w:rFonts w:ascii="Arial" w:hAnsi="Arial" w:cs="Arial"/>
          <w:b/>
          <w:sz w:val="22"/>
          <w:szCs w:val="22"/>
          <w:u w:val="single"/>
        </w:rPr>
        <w:t>Finance and Economic Background:</w:t>
      </w:r>
    </w:p>
    <w:p w:rsidR="00266E0B" w:rsidRPr="00EB33FD" w:rsidRDefault="001064A7" w:rsidP="00266E0B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William W. Wade specializes in issues related to water and energy policy working with executives, lawyers, engineers and scientists on multi-discipline regulation, litigation, and planning projects. </w:t>
      </w:r>
      <w:r w:rsidR="005A27E9" w:rsidRPr="00EB33FD">
        <w:rPr>
          <w:rFonts w:ascii="Arial" w:hAnsi="Arial" w:cs="Arial"/>
          <w:sz w:val="22"/>
          <w:szCs w:val="22"/>
        </w:rPr>
        <w:t xml:space="preserve"> </w:t>
      </w:r>
      <w:r w:rsidR="00F95CBF" w:rsidRPr="00EB33FD">
        <w:rPr>
          <w:rFonts w:ascii="Arial" w:hAnsi="Arial" w:cs="Arial"/>
          <w:sz w:val="22"/>
          <w:szCs w:val="22"/>
        </w:rPr>
        <w:t>He has 40</w:t>
      </w:r>
      <w:r w:rsidRPr="00EB33FD">
        <w:rPr>
          <w:rFonts w:ascii="Arial" w:hAnsi="Arial" w:cs="Arial"/>
          <w:sz w:val="22"/>
          <w:szCs w:val="22"/>
        </w:rPr>
        <w:t xml:space="preserve"> years experience managing and conducting financial and economic evaluations of</w:t>
      </w:r>
      <w:r w:rsidR="005053AF" w:rsidRPr="00EB33FD">
        <w:rPr>
          <w:rFonts w:ascii="Arial" w:hAnsi="Arial" w:cs="Arial"/>
          <w:sz w:val="22"/>
          <w:szCs w:val="22"/>
        </w:rPr>
        <w:t xml:space="preserve"> tort damages,</w:t>
      </w:r>
      <w:r w:rsidRPr="00EB33FD">
        <w:rPr>
          <w:rFonts w:ascii="Arial" w:hAnsi="Arial" w:cs="Arial"/>
          <w:sz w:val="22"/>
          <w:szCs w:val="22"/>
        </w:rPr>
        <w:t xml:space="preserve"> policies</w:t>
      </w:r>
      <w:r w:rsidR="005053AF" w:rsidRPr="00EB33FD">
        <w:rPr>
          <w:rFonts w:ascii="Arial" w:hAnsi="Arial" w:cs="Arial"/>
          <w:sz w:val="22"/>
          <w:szCs w:val="22"/>
        </w:rPr>
        <w:t xml:space="preserve"> </w:t>
      </w:r>
      <w:r w:rsidRPr="00EB33FD">
        <w:rPr>
          <w:rFonts w:ascii="Arial" w:hAnsi="Arial" w:cs="Arial"/>
          <w:sz w:val="22"/>
          <w:szCs w:val="22"/>
        </w:rPr>
        <w:t>and decisions bearing on natu</w:t>
      </w:r>
      <w:r w:rsidR="00654B07" w:rsidRPr="00EB33FD">
        <w:rPr>
          <w:rFonts w:ascii="Arial" w:hAnsi="Arial" w:cs="Arial"/>
          <w:sz w:val="22"/>
          <w:szCs w:val="22"/>
        </w:rPr>
        <w:t>ral resources,</w:t>
      </w:r>
      <w:r w:rsidR="00120C65" w:rsidRPr="00EB33FD">
        <w:rPr>
          <w:rFonts w:ascii="Arial" w:hAnsi="Arial" w:cs="Arial"/>
          <w:sz w:val="22"/>
          <w:szCs w:val="22"/>
        </w:rPr>
        <w:t xml:space="preserve"> project investments</w:t>
      </w:r>
      <w:r w:rsidR="005053AF" w:rsidRPr="00EB33FD">
        <w:rPr>
          <w:rFonts w:ascii="Arial" w:hAnsi="Arial" w:cs="Arial"/>
          <w:sz w:val="22"/>
          <w:szCs w:val="22"/>
        </w:rPr>
        <w:t>,</w:t>
      </w:r>
      <w:r w:rsidR="00F95CBF" w:rsidRPr="00EB33FD">
        <w:rPr>
          <w:rFonts w:ascii="Arial" w:hAnsi="Arial" w:cs="Arial"/>
          <w:sz w:val="22"/>
          <w:szCs w:val="22"/>
        </w:rPr>
        <w:t xml:space="preserve"> business valuations</w:t>
      </w:r>
      <w:r w:rsidR="005053AF" w:rsidRPr="00EB33FD">
        <w:rPr>
          <w:rFonts w:ascii="Arial" w:hAnsi="Arial" w:cs="Arial"/>
          <w:sz w:val="22"/>
          <w:szCs w:val="22"/>
        </w:rPr>
        <w:t xml:space="preserve"> and regulatory takings</w:t>
      </w:r>
      <w:r w:rsidRPr="00EB33FD">
        <w:rPr>
          <w:rFonts w:ascii="Arial" w:hAnsi="Arial" w:cs="Arial"/>
          <w:sz w:val="22"/>
          <w:szCs w:val="22"/>
        </w:rPr>
        <w:t xml:space="preserve">. </w:t>
      </w:r>
      <w:r w:rsidR="00266E0B" w:rsidRPr="00EB33FD">
        <w:rPr>
          <w:rFonts w:ascii="Arial" w:hAnsi="Arial" w:cs="Arial"/>
          <w:sz w:val="22"/>
          <w:szCs w:val="22"/>
        </w:rPr>
        <w:t xml:space="preserve"> A brief bullet list of a</w:t>
      </w:r>
      <w:r w:rsidR="00F95CBF" w:rsidRPr="00EB33FD">
        <w:rPr>
          <w:rFonts w:ascii="Arial" w:hAnsi="Arial" w:cs="Arial"/>
          <w:sz w:val="22"/>
          <w:szCs w:val="22"/>
        </w:rPr>
        <w:t>ctivities and expertise summarizes</w:t>
      </w:r>
      <w:r w:rsidR="00EF5DCB" w:rsidRPr="00EB33FD">
        <w:rPr>
          <w:rFonts w:ascii="Arial" w:hAnsi="Arial" w:cs="Arial"/>
          <w:sz w:val="22"/>
          <w:szCs w:val="22"/>
        </w:rPr>
        <w:t xml:space="preserve"> </w:t>
      </w:r>
      <w:r w:rsidR="00F95CBF" w:rsidRPr="00EB33FD">
        <w:rPr>
          <w:rFonts w:ascii="Arial" w:hAnsi="Arial" w:cs="Arial"/>
          <w:sz w:val="22"/>
          <w:szCs w:val="22"/>
        </w:rPr>
        <w:t>his</w:t>
      </w:r>
      <w:r w:rsidR="00EF5DCB" w:rsidRPr="00EB33FD">
        <w:rPr>
          <w:rFonts w:ascii="Arial" w:hAnsi="Arial" w:cs="Arial"/>
          <w:sz w:val="22"/>
          <w:szCs w:val="22"/>
        </w:rPr>
        <w:t xml:space="preserve"> background involvement in </w:t>
      </w:r>
      <w:r w:rsidR="00F95CBF" w:rsidRPr="00EB33FD">
        <w:rPr>
          <w:rFonts w:ascii="Arial" w:hAnsi="Arial" w:cs="Arial"/>
          <w:sz w:val="22"/>
          <w:szCs w:val="22"/>
        </w:rPr>
        <w:t xml:space="preserve">financial valuation and </w:t>
      </w:r>
      <w:r w:rsidR="00EF5DCB" w:rsidRPr="00EB33FD">
        <w:rPr>
          <w:rFonts w:ascii="Arial" w:hAnsi="Arial" w:cs="Arial"/>
          <w:sz w:val="22"/>
          <w:szCs w:val="22"/>
        </w:rPr>
        <w:t xml:space="preserve">regulatory takings </w:t>
      </w:r>
      <w:r w:rsidR="00F95CBF" w:rsidRPr="00EB33FD">
        <w:rPr>
          <w:rFonts w:ascii="Arial" w:hAnsi="Arial" w:cs="Arial"/>
          <w:sz w:val="22"/>
          <w:szCs w:val="22"/>
        </w:rPr>
        <w:t>cases</w:t>
      </w:r>
      <w:r w:rsidR="00FB51BA" w:rsidRPr="00EB33FD">
        <w:rPr>
          <w:rFonts w:ascii="Arial" w:hAnsi="Arial" w:cs="Arial"/>
          <w:sz w:val="22"/>
          <w:szCs w:val="22"/>
        </w:rPr>
        <w:t>.</w:t>
      </w:r>
    </w:p>
    <w:p w:rsidR="00FB51BA" w:rsidRPr="00EB33FD" w:rsidRDefault="00FB51BA" w:rsidP="00266E0B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266E0B" w:rsidRPr="00EB33FD" w:rsidRDefault="00266E0B" w:rsidP="00D81168">
      <w:pPr>
        <w:pStyle w:val="BodyText"/>
        <w:numPr>
          <w:ilvl w:val="0"/>
          <w:numId w:val="22"/>
        </w:numPr>
        <w:tabs>
          <w:tab w:val="clear" w:pos="2160"/>
        </w:tabs>
        <w:spacing w:after="120"/>
        <w:ind w:left="720" w:hanging="72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Extensive experience in the valuation of businesses and investment opportunities for corporate and public entities</w:t>
      </w:r>
      <w:r w:rsidR="00396AA9" w:rsidRPr="00EB33FD">
        <w:rPr>
          <w:rFonts w:ascii="Arial" w:hAnsi="Arial" w:cs="Arial"/>
          <w:sz w:val="22"/>
          <w:szCs w:val="22"/>
        </w:rPr>
        <w:t xml:space="preserve"> – and opposing parties in litigation</w:t>
      </w:r>
      <w:r w:rsidRPr="00EB33FD">
        <w:rPr>
          <w:rFonts w:ascii="Arial" w:hAnsi="Arial" w:cs="Arial"/>
          <w:sz w:val="22"/>
          <w:szCs w:val="22"/>
        </w:rPr>
        <w:t xml:space="preserve">. </w:t>
      </w:r>
    </w:p>
    <w:p w:rsidR="00266E0B" w:rsidRPr="00EB33FD" w:rsidRDefault="00266E0B" w:rsidP="00685E23">
      <w:pPr>
        <w:pStyle w:val="BodyText"/>
        <w:numPr>
          <w:ilvl w:val="0"/>
          <w:numId w:val="22"/>
        </w:numPr>
        <w:tabs>
          <w:tab w:val="clear" w:pos="2160"/>
        </w:tabs>
        <w:spacing w:after="120"/>
        <w:ind w:left="720" w:hanging="72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Substantial involvement in </w:t>
      </w:r>
      <w:r w:rsidR="00D51DD2" w:rsidRPr="00EB33FD">
        <w:rPr>
          <w:rFonts w:ascii="Arial" w:hAnsi="Arial" w:cs="Arial"/>
          <w:sz w:val="22"/>
          <w:szCs w:val="22"/>
        </w:rPr>
        <w:t xml:space="preserve">economic values of </w:t>
      </w:r>
      <w:r w:rsidRPr="00EB33FD">
        <w:rPr>
          <w:rFonts w:ascii="Arial" w:hAnsi="Arial" w:cs="Arial"/>
          <w:sz w:val="22"/>
          <w:szCs w:val="22"/>
        </w:rPr>
        <w:t>large complex development projects entailing multi-discipline</w:t>
      </w:r>
      <w:r w:rsidR="009B78DC" w:rsidRPr="00EB33FD">
        <w:rPr>
          <w:rFonts w:ascii="Arial" w:hAnsi="Arial" w:cs="Arial"/>
          <w:sz w:val="22"/>
          <w:szCs w:val="22"/>
        </w:rPr>
        <w:t xml:space="preserve"> engineering and scientific</w:t>
      </w:r>
      <w:r w:rsidRPr="00EB33FD">
        <w:rPr>
          <w:rFonts w:ascii="Arial" w:hAnsi="Arial" w:cs="Arial"/>
          <w:sz w:val="22"/>
          <w:szCs w:val="22"/>
        </w:rPr>
        <w:t xml:space="preserve"> teams.</w:t>
      </w:r>
    </w:p>
    <w:p w:rsidR="00266E0B" w:rsidRPr="00EB33FD" w:rsidRDefault="00266E0B" w:rsidP="00685E23">
      <w:pPr>
        <w:pStyle w:val="BodyText"/>
        <w:numPr>
          <w:ilvl w:val="0"/>
          <w:numId w:val="22"/>
        </w:numPr>
        <w:tabs>
          <w:tab w:val="clear" w:pos="2160"/>
        </w:tabs>
        <w:spacing w:after="120"/>
        <w:ind w:left="720" w:hanging="72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Consulting and expert witness services since 1976 in a broad range of business and regulatory settings dealing with economic, finance and statistical investigations.</w:t>
      </w:r>
    </w:p>
    <w:p w:rsidR="00266E0B" w:rsidRPr="00EB33FD" w:rsidRDefault="00266E0B" w:rsidP="00654B07">
      <w:pPr>
        <w:pStyle w:val="BodyText"/>
        <w:numPr>
          <w:ilvl w:val="0"/>
          <w:numId w:val="22"/>
        </w:numPr>
        <w:tabs>
          <w:tab w:val="clear" w:pos="2160"/>
        </w:tabs>
        <w:spacing w:after="120"/>
        <w:ind w:left="720" w:hanging="72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Strong background in financial analysis, project feasibility</w:t>
      </w:r>
      <w:r w:rsidR="00654B07" w:rsidRPr="00EB33FD">
        <w:rPr>
          <w:rFonts w:ascii="Arial" w:hAnsi="Arial" w:cs="Arial"/>
          <w:sz w:val="22"/>
          <w:szCs w:val="22"/>
        </w:rPr>
        <w:t xml:space="preserve">, business valuations and </w:t>
      </w:r>
      <w:r w:rsidRPr="00EB33FD">
        <w:rPr>
          <w:rFonts w:ascii="Arial" w:hAnsi="Arial" w:cs="Arial"/>
          <w:sz w:val="22"/>
          <w:szCs w:val="22"/>
        </w:rPr>
        <w:t xml:space="preserve">lost profits. </w:t>
      </w:r>
    </w:p>
    <w:p w:rsidR="00266E0B" w:rsidRPr="00EB33FD" w:rsidRDefault="00266E0B" w:rsidP="00037762">
      <w:pPr>
        <w:pStyle w:val="BodyText"/>
        <w:numPr>
          <w:ilvl w:val="0"/>
          <w:numId w:val="22"/>
        </w:numPr>
        <w:tabs>
          <w:tab w:val="clear" w:pos="216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Hundreds of projects entailing forecasting market conditions and estimating financial feasibility of business decisions, project alternatives -- or economic losses. </w:t>
      </w:r>
    </w:p>
    <w:p w:rsidR="00EB33FD" w:rsidRDefault="00EB33FD" w:rsidP="000514D4">
      <w:pPr>
        <w:tabs>
          <w:tab w:val="left" w:pos="-720"/>
        </w:tabs>
        <w:suppressAutoHyphens/>
        <w:spacing w:before="60" w:after="120"/>
        <w:rPr>
          <w:rFonts w:ascii="Arial" w:hAnsi="Arial" w:cs="Arial"/>
          <w:sz w:val="22"/>
          <w:szCs w:val="22"/>
        </w:rPr>
      </w:pPr>
    </w:p>
    <w:p w:rsidR="001064A7" w:rsidRPr="00EB33FD" w:rsidRDefault="00396AA9" w:rsidP="000514D4">
      <w:pPr>
        <w:tabs>
          <w:tab w:val="left" w:pos="-720"/>
        </w:tabs>
        <w:suppressAutoHyphens/>
        <w:spacing w:before="60" w:after="12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The economic</w:t>
      </w:r>
      <w:r w:rsidR="00037762" w:rsidRPr="00EB33FD">
        <w:rPr>
          <w:rFonts w:ascii="Arial" w:hAnsi="Arial" w:cs="Arial"/>
          <w:sz w:val="22"/>
          <w:szCs w:val="22"/>
        </w:rPr>
        <w:t xml:space="preserve"> </w:t>
      </w:r>
      <w:r w:rsidRPr="00EB33FD">
        <w:rPr>
          <w:rFonts w:ascii="Arial" w:hAnsi="Arial" w:cs="Arial"/>
          <w:sz w:val="22"/>
          <w:szCs w:val="22"/>
        </w:rPr>
        <w:t xml:space="preserve">underpinnings </w:t>
      </w:r>
      <w:r w:rsidR="00037762" w:rsidRPr="00EB33FD">
        <w:rPr>
          <w:rFonts w:ascii="Arial" w:hAnsi="Arial" w:cs="Arial"/>
          <w:sz w:val="22"/>
          <w:szCs w:val="22"/>
        </w:rPr>
        <w:t xml:space="preserve">of </w:t>
      </w:r>
      <w:r w:rsidR="00080B37" w:rsidRPr="00EB33FD">
        <w:rPr>
          <w:rFonts w:ascii="Arial" w:hAnsi="Arial" w:cs="Arial"/>
          <w:sz w:val="22"/>
          <w:szCs w:val="22"/>
        </w:rPr>
        <w:t xml:space="preserve">Regulatory Takings </w:t>
      </w:r>
      <w:r w:rsidR="00037762" w:rsidRPr="00EB33FD">
        <w:rPr>
          <w:rFonts w:ascii="Arial" w:hAnsi="Arial" w:cs="Arial"/>
          <w:sz w:val="22"/>
          <w:szCs w:val="22"/>
        </w:rPr>
        <w:t>is a</w:t>
      </w:r>
      <w:r w:rsidR="00984DBF" w:rsidRPr="00EB33FD">
        <w:rPr>
          <w:rFonts w:ascii="Arial" w:hAnsi="Arial" w:cs="Arial"/>
          <w:sz w:val="22"/>
          <w:szCs w:val="22"/>
        </w:rPr>
        <w:t xml:space="preserve"> subspecialt</w:t>
      </w:r>
      <w:r w:rsidR="00037762" w:rsidRPr="00EB33FD">
        <w:rPr>
          <w:rFonts w:ascii="Arial" w:hAnsi="Arial" w:cs="Arial"/>
          <w:sz w:val="22"/>
          <w:szCs w:val="22"/>
        </w:rPr>
        <w:t>y</w:t>
      </w:r>
      <w:r w:rsidR="00984DBF" w:rsidRPr="00EB33FD">
        <w:rPr>
          <w:rFonts w:ascii="Arial" w:hAnsi="Arial" w:cs="Arial"/>
          <w:sz w:val="22"/>
          <w:szCs w:val="22"/>
        </w:rPr>
        <w:t xml:space="preserve"> </w:t>
      </w:r>
      <w:r w:rsidR="001064A7" w:rsidRPr="00EB33FD">
        <w:rPr>
          <w:rFonts w:ascii="Arial" w:hAnsi="Arial" w:cs="Arial"/>
          <w:sz w:val="22"/>
          <w:szCs w:val="22"/>
        </w:rPr>
        <w:t xml:space="preserve">that </w:t>
      </w:r>
      <w:r w:rsidR="00EF5DCB" w:rsidRPr="00EB33FD">
        <w:rPr>
          <w:rFonts w:ascii="Arial" w:hAnsi="Arial" w:cs="Arial"/>
          <w:sz w:val="22"/>
          <w:szCs w:val="22"/>
        </w:rPr>
        <w:t xml:space="preserve">began in 1995 and </w:t>
      </w:r>
      <w:r w:rsidR="001064A7" w:rsidRPr="00EB33FD">
        <w:rPr>
          <w:rFonts w:ascii="Arial" w:hAnsi="Arial" w:cs="Arial"/>
          <w:sz w:val="22"/>
          <w:szCs w:val="22"/>
        </w:rPr>
        <w:t>rest</w:t>
      </w:r>
      <w:r w:rsidR="00162A21" w:rsidRPr="00EB33FD">
        <w:rPr>
          <w:rFonts w:ascii="Arial" w:hAnsi="Arial" w:cs="Arial"/>
          <w:sz w:val="22"/>
          <w:szCs w:val="22"/>
        </w:rPr>
        <w:t>s</w:t>
      </w:r>
      <w:r w:rsidR="001064A7" w:rsidRPr="00EB33FD">
        <w:rPr>
          <w:rFonts w:ascii="Arial" w:hAnsi="Arial" w:cs="Arial"/>
          <w:sz w:val="22"/>
          <w:szCs w:val="22"/>
        </w:rPr>
        <w:t xml:space="preserve"> upon </w:t>
      </w:r>
      <w:r w:rsidR="00037762" w:rsidRPr="00EB33FD">
        <w:rPr>
          <w:rFonts w:ascii="Arial" w:hAnsi="Arial" w:cs="Arial"/>
          <w:sz w:val="22"/>
          <w:szCs w:val="22"/>
        </w:rPr>
        <w:t>t</w:t>
      </w:r>
      <w:r w:rsidR="001064A7" w:rsidRPr="00EB33FD">
        <w:rPr>
          <w:rFonts w:ascii="Arial" w:hAnsi="Arial" w:cs="Arial"/>
          <w:sz w:val="22"/>
          <w:szCs w:val="22"/>
        </w:rPr>
        <w:t xml:space="preserve">his financial expertise. </w:t>
      </w:r>
      <w:r w:rsidR="00685E23" w:rsidRPr="00EB33FD">
        <w:rPr>
          <w:rFonts w:ascii="Arial" w:hAnsi="Arial" w:cs="Arial"/>
          <w:sz w:val="22"/>
          <w:szCs w:val="22"/>
        </w:rPr>
        <w:t xml:space="preserve"> </w:t>
      </w:r>
      <w:r w:rsidR="001064A7" w:rsidRPr="00EB33FD">
        <w:rPr>
          <w:rFonts w:ascii="Arial" w:hAnsi="Arial" w:cs="Arial"/>
          <w:sz w:val="22"/>
          <w:szCs w:val="22"/>
        </w:rPr>
        <w:t>Dr. Wad</w:t>
      </w:r>
      <w:r w:rsidR="00A86C29" w:rsidRPr="00EB33FD">
        <w:rPr>
          <w:rFonts w:ascii="Arial" w:hAnsi="Arial" w:cs="Arial"/>
          <w:sz w:val="22"/>
          <w:szCs w:val="22"/>
        </w:rPr>
        <w:t>e is the expert witness in</w:t>
      </w:r>
      <w:r w:rsidR="00DD0088" w:rsidRPr="00EB33FD">
        <w:rPr>
          <w:rFonts w:ascii="Arial" w:hAnsi="Arial" w:cs="Arial"/>
          <w:sz w:val="22"/>
          <w:szCs w:val="22"/>
        </w:rPr>
        <w:t xml:space="preserve"> nine</w:t>
      </w:r>
      <w:r w:rsidR="00D51DD2" w:rsidRPr="00EB33FD">
        <w:rPr>
          <w:rFonts w:ascii="Arial" w:hAnsi="Arial" w:cs="Arial"/>
          <w:sz w:val="22"/>
          <w:szCs w:val="22"/>
        </w:rPr>
        <w:t xml:space="preserve"> recent &amp; ongoing</w:t>
      </w:r>
      <w:r w:rsidR="001064A7" w:rsidRPr="00EB33FD">
        <w:rPr>
          <w:rFonts w:ascii="Arial" w:hAnsi="Arial" w:cs="Arial"/>
          <w:sz w:val="22"/>
          <w:szCs w:val="22"/>
        </w:rPr>
        <w:t xml:space="preserve"> takings cases, which involve measu</w:t>
      </w:r>
      <w:r w:rsidR="00264DD6" w:rsidRPr="00EB33FD">
        <w:rPr>
          <w:rFonts w:ascii="Arial" w:hAnsi="Arial" w:cs="Arial"/>
          <w:sz w:val="22"/>
          <w:szCs w:val="22"/>
        </w:rPr>
        <w:t xml:space="preserve">rement of the </w:t>
      </w:r>
      <w:r w:rsidR="00264DD6" w:rsidRPr="00EB33FD">
        <w:rPr>
          <w:rFonts w:ascii="Arial" w:hAnsi="Arial" w:cs="Arial"/>
          <w:i/>
          <w:sz w:val="22"/>
          <w:szCs w:val="22"/>
        </w:rPr>
        <w:t>Penn Central</w:t>
      </w:r>
      <w:r w:rsidR="00264DD6" w:rsidRPr="00EB33FD">
        <w:rPr>
          <w:rFonts w:ascii="Arial" w:hAnsi="Arial" w:cs="Arial"/>
          <w:sz w:val="22"/>
          <w:szCs w:val="22"/>
        </w:rPr>
        <w:t xml:space="preserve"> test and damages.</w:t>
      </w:r>
      <w:r w:rsidR="00FB51BA" w:rsidRPr="00EB33FD">
        <w:rPr>
          <w:rFonts w:ascii="Arial" w:hAnsi="Arial" w:cs="Arial"/>
          <w:sz w:val="22"/>
          <w:szCs w:val="22"/>
        </w:rPr>
        <w:t xml:space="preserve"> He has been qualified as a financial economist in the Court of Federal Claims. </w:t>
      </w:r>
    </w:p>
    <w:p w:rsidR="00F47676" w:rsidRPr="00F47676" w:rsidRDefault="0046238F" w:rsidP="00564C0A">
      <w:pPr>
        <w:pStyle w:val="ListParagraph"/>
        <w:numPr>
          <w:ilvl w:val="0"/>
          <w:numId w:val="43"/>
        </w:numPr>
        <w:tabs>
          <w:tab w:val="clear" w:pos="2160"/>
        </w:tabs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46238F">
        <w:rPr>
          <w:rFonts w:ascii="Arial" w:hAnsi="Arial" w:cs="Arial"/>
          <w:i/>
          <w:sz w:val="22"/>
          <w:szCs w:val="22"/>
        </w:rPr>
        <w:t xml:space="preserve">Wrights v. City of Shelbyville, </w:t>
      </w:r>
      <w:r w:rsidR="006B4ED3" w:rsidRPr="0046238F">
        <w:rPr>
          <w:rFonts w:ascii="Arial" w:hAnsi="Arial" w:cs="Arial"/>
          <w:i/>
          <w:sz w:val="22"/>
          <w:szCs w:val="22"/>
        </w:rPr>
        <w:t>TN</w:t>
      </w:r>
      <w:r w:rsidR="006B4ED3" w:rsidRPr="00F47676">
        <w:rPr>
          <w:rFonts w:ascii="Arial" w:hAnsi="Arial" w:cs="Arial"/>
          <w:sz w:val="22"/>
          <w:szCs w:val="22"/>
        </w:rPr>
        <w:t xml:space="preserve"> Taking/Damages case</w:t>
      </w:r>
      <w:r w:rsidR="006B4ED3" w:rsidRPr="00F476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Settled</w:t>
      </w:r>
      <w:r w:rsidR="00EB33FD" w:rsidRPr="00F47676">
        <w:rPr>
          <w:rFonts w:ascii="Arial" w:hAnsi="Arial" w:cs="Arial"/>
          <w:sz w:val="22"/>
          <w:szCs w:val="22"/>
        </w:rPr>
        <w:t>, 2015</w:t>
      </w:r>
      <w:r w:rsidR="006B4ED3" w:rsidRPr="00F47676">
        <w:rPr>
          <w:rFonts w:ascii="Arial" w:hAnsi="Arial" w:cs="Arial"/>
          <w:sz w:val="22"/>
          <w:szCs w:val="22"/>
        </w:rPr>
        <w:t>.  (Defendant)</w:t>
      </w:r>
      <w:r w:rsidR="00F47676" w:rsidRPr="00F47676">
        <w:rPr>
          <w:rFonts w:ascii="Arial" w:hAnsi="Arial" w:cs="Arial"/>
          <w:sz w:val="22"/>
          <w:szCs w:val="22"/>
        </w:rPr>
        <w:t xml:space="preserve"> </w:t>
      </w:r>
    </w:p>
    <w:p w:rsidR="00F47676" w:rsidRDefault="003A673B" w:rsidP="00564C0A">
      <w:pPr>
        <w:numPr>
          <w:ilvl w:val="0"/>
          <w:numId w:val="30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F47676">
        <w:rPr>
          <w:rFonts w:ascii="Arial" w:hAnsi="Arial" w:cs="Arial"/>
          <w:sz w:val="22"/>
          <w:szCs w:val="22"/>
        </w:rPr>
        <w:t>Confidential</w:t>
      </w:r>
      <w:r w:rsidR="00364D4D" w:rsidRPr="00F47676">
        <w:rPr>
          <w:rFonts w:ascii="Arial" w:hAnsi="Arial" w:cs="Arial"/>
          <w:sz w:val="22"/>
          <w:szCs w:val="22"/>
        </w:rPr>
        <w:t xml:space="preserve"> C</w:t>
      </w:r>
      <w:r w:rsidR="00DD0088" w:rsidRPr="00F47676">
        <w:rPr>
          <w:rFonts w:ascii="Arial" w:hAnsi="Arial" w:cs="Arial"/>
          <w:sz w:val="22"/>
          <w:szCs w:val="22"/>
        </w:rPr>
        <w:t xml:space="preserve">ourt of </w:t>
      </w:r>
      <w:r w:rsidR="00176D8A" w:rsidRPr="00F47676">
        <w:rPr>
          <w:rFonts w:ascii="Arial" w:hAnsi="Arial" w:cs="Arial"/>
          <w:sz w:val="22"/>
          <w:szCs w:val="22"/>
        </w:rPr>
        <w:t>F</w:t>
      </w:r>
      <w:r w:rsidR="00DD0088" w:rsidRPr="00F47676">
        <w:rPr>
          <w:rFonts w:ascii="Arial" w:hAnsi="Arial" w:cs="Arial"/>
          <w:sz w:val="22"/>
          <w:szCs w:val="22"/>
        </w:rPr>
        <w:t>ederal Claims</w:t>
      </w:r>
      <w:r w:rsidR="00DA395C" w:rsidRPr="00F47676">
        <w:rPr>
          <w:rFonts w:ascii="Arial" w:hAnsi="Arial" w:cs="Arial"/>
          <w:sz w:val="22"/>
          <w:szCs w:val="22"/>
        </w:rPr>
        <w:t xml:space="preserve"> Taking case</w:t>
      </w:r>
      <w:r w:rsidR="00DA395C" w:rsidRPr="00F47676">
        <w:rPr>
          <w:rFonts w:ascii="Arial" w:hAnsi="Arial" w:cs="Arial"/>
          <w:sz w:val="22"/>
          <w:szCs w:val="22"/>
        </w:rPr>
        <w:tab/>
      </w:r>
      <w:r w:rsidR="00856160" w:rsidRPr="00F47676">
        <w:rPr>
          <w:rFonts w:ascii="Arial" w:hAnsi="Arial" w:cs="Arial"/>
          <w:sz w:val="22"/>
          <w:szCs w:val="22"/>
        </w:rPr>
        <w:t>O</w:t>
      </w:r>
      <w:r w:rsidRPr="00F47676">
        <w:rPr>
          <w:rFonts w:ascii="Arial" w:hAnsi="Arial" w:cs="Arial"/>
          <w:sz w:val="22"/>
          <w:szCs w:val="22"/>
        </w:rPr>
        <w:t>ngoing</w:t>
      </w:r>
      <w:r w:rsidR="00C877D4" w:rsidRPr="00F47676">
        <w:rPr>
          <w:rFonts w:ascii="Arial" w:hAnsi="Arial" w:cs="Arial"/>
          <w:sz w:val="22"/>
          <w:szCs w:val="22"/>
        </w:rPr>
        <w:t>, 20</w:t>
      </w:r>
      <w:r w:rsidR="00EB33FD" w:rsidRPr="00F47676">
        <w:rPr>
          <w:rFonts w:ascii="Arial" w:hAnsi="Arial" w:cs="Arial"/>
          <w:sz w:val="22"/>
          <w:szCs w:val="22"/>
        </w:rPr>
        <w:t>15</w:t>
      </w:r>
      <w:r w:rsidRPr="00F47676">
        <w:rPr>
          <w:rFonts w:ascii="Arial" w:hAnsi="Arial" w:cs="Arial"/>
          <w:sz w:val="22"/>
          <w:szCs w:val="22"/>
        </w:rPr>
        <w:t>.</w:t>
      </w:r>
      <w:r w:rsidR="006B4ED3" w:rsidRPr="00F47676">
        <w:rPr>
          <w:rFonts w:ascii="Arial" w:hAnsi="Arial" w:cs="Arial"/>
          <w:sz w:val="22"/>
          <w:szCs w:val="22"/>
        </w:rPr>
        <w:t xml:space="preserve">  (Plaintiff)</w:t>
      </w:r>
    </w:p>
    <w:p w:rsidR="00F47676" w:rsidRPr="00F47676" w:rsidRDefault="00F47676" w:rsidP="00564C0A">
      <w:pPr>
        <w:pStyle w:val="ListParagraph"/>
        <w:spacing w:after="120"/>
        <w:ind w:left="360"/>
        <w:rPr>
          <w:rFonts w:ascii="Arial" w:hAnsi="Arial" w:cs="Arial"/>
          <w:sz w:val="22"/>
          <w:szCs w:val="22"/>
        </w:rPr>
      </w:pPr>
      <w:r w:rsidRPr="00F47676">
        <w:rPr>
          <w:rFonts w:ascii="Arial" w:hAnsi="Arial" w:cs="Arial"/>
          <w:sz w:val="22"/>
          <w:szCs w:val="22"/>
        </w:rPr>
        <w:t>(Current takings case involves valuation of damages and severity of economic impact for six large rental properties in CA and the Northeast US.)</w:t>
      </w:r>
    </w:p>
    <w:p w:rsidR="00EF5DCB" w:rsidRPr="00F47676" w:rsidRDefault="00EF5DCB" w:rsidP="00C07FEF">
      <w:pPr>
        <w:numPr>
          <w:ilvl w:val="0"/>
          <w:numId w:val="30"/>
        </w:numPr>
        <w:tabs>
          <w:tab w:val="left" w:pos="-720"/>
        </w:tabs>
        <w:suppressAutoHyphens/>
        <w:spacing w:before="60" w:after="120"/>
        <w:rPr>
          <w:rFonts w:ascii="Arial" w:hAnsi="Arial" w:cs="Arial"/>
          <w:sz w:val="22"/>
          <w:szCs w:val="22"/>
        </w:rPr>
      </w:pPr>
      <w:r w:rsidRPr="00F47676">
        <w:rPr>
          <w:rFonts w:ascii="Arial" w:hAnsi="Arial" w:cs="Arial"/>
          <w:i/>
          <w:sz w:val="22"/>
          <w:szCs w:val="22"/>
        </w:rPr>
        <w:t>Richfield Landfill v. State of Michigan</w:t>
      </w:r>
      <w:r w:rsidR="00F12EAB" w:rsidRPr="00F47676">
        <w:rPr>
          <w:rFonts w:ascii="Arial" w:hAnsi="Arial" w:cs="Arial"/>
          <w:sz w:val="22"/>
          <w:szCs w:val="22"/>
        </w:rPr>
        <w:t xml:space="preserve"> </w:t>
      </w:r>
      <w:r w:rsidR="00F12EAB" w:rsidRPr="00F47676">
        <w:rPr>
          <w:rFonts w:ascii="Arial" w:hAnsi="Arial" w:cs="Arial"/>
          <w:sz w:val="22"/>
          <w:szCs w:val="22"/>
        </w:rPr>
        <w:tab/>
        <w:t>(Temporary taking</w:t>
      </w:r>
      <w:r w:rsidR="00D1509E" w:rsidRPr="00F47676">
        <w:rPr>
          <w:rFonts w:ascii="Arial" w:hAnsi="Arial" w:cs="Arial"/>
          <w:sz w:val="22"/>
          <w:szCs w:val="22"/>
        </w:rPr>
        <w:t>/damages</w:t>
      </w:r>
      <w:r w:rsidR="00F12EAB" w:rsidRPr="00F47676">
        <w:rPr>
          <w:rFonts w:ascii="Arial" w:hAnsi="Arial" w:cs="Arial"/>
          <w:sz w:val="22"/>
          <w:szCs w:val="22"/>
        </w:rPr>
        <w:t xml:space="preserve"> – settled 2010</w:t>
      </w:r>
      <w:r w:rsidRPr="00F47676">
        <w:rPr>
          <w:rFonts w:ascii="Arial" w:hAnsi="Arial" w:cs="Arial"/>
          <w:sz w:val="22"/>
          <w:szCs w:val="22"/>
        </w:rPr>
        <w:t>)</w:t>
      </w:r>
      <w:r w:rsidR="006B4ED3" w:rsidRPr="00F47676">
        <w:rPr>
          <w:rFonts w:ascii="Arial" w:hAnsi="Arial" w:cs="Arial"/>
          <w:sz w:val="22"/>
          <w:szCs w:val="22"/>
        </w:rPr>
        <w:t>.</w:t>
      </w:r>
    </w:p>
    <w:p w:rsidR="009D6D8A" w:rsidRPr="00EB33FD" w:rsidRDefault="009D6D8A" w:rsidP="00EE1DA4">
      <w:pPr>
        <w:numPr>
          <w:ilvl w:val="0"/>
          <w:numId w:val="27"/>
        </w:numPr>
        <w:tabs>
          <w:tab w:val="clear" w:pos="2160"/>
          <w:tab w:val="left" w:pos="-720"/>
        </w:tabs>
        <w:suppressAutoHyphens/>
        <w:spacing w:before="60" w:after="120"/>
        <w:ind w:left="36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i/>
          <w:sz w:val="22"/>
          <w:szCs w:val="22"/>
        </w:rPr>
        <w:t>Chancellor Manor v. U. S.</w:t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</w:r>
      <w:r w:rsidR="00F91CE2" w:rsidRPr="00EB33FD">
        <w:rPr>
          <w:rFonts w:ascii="Arial" w:hAnsi="Arial" w:cs="Arial"/>
          <w:sz w:val="22"/>
          <w:szCs w:val="22"/>
        </w:rPr>
        <w:t>(</w:t>
      </w:r>
      <w:r w:rsidRPr="00EB33FD">
        <w:rPr>
          <w:rFonts w:ascii="Arial" w:hAnsi="Arial" w:cs="Arial"/>
          <w:sz w:val="22"/>
          <w:szCs w:val="22"/>
        </w:rPr>
        <w:t>Research for Petition for Certiorari, 2007.</w:t>
      </w:r>
      <w:r w:rsidR="00F91CE2" w:rsidRPr="00EB33FD">
        <w:rPr>
          <w:rFonts w:ascii="Arial" w:hAnsi="Arial" w:cs="Arial"/>
          <w:sz w:val="22"/>
          <w:szCs w:val="22"/>
        </w:rPr>
        <w:t>)</w:t>
      </w:r>
    </w:p>
    <w:p w:rsidR="00EB0D92" w:rsidRPr="00EB33FD" w:rsidRDefault="001A0214" w:rsidP="00EE1DA4">
      <w:pPr>
        <w:numPr>
          <w:ilvl w:val="0"/>
          <w:numId w:val="25"/>
        </w:numPr>
        <w:tabs>
          <w:tab w:val="clear" w:pos="2160"/>
          <w:tab w:val="left" w:pos="-720"/>
        </w:tabs>
        <w:suppressAutoHyphens/>
        <w:spacing w:before="60" w:after="120"/>
        <w:ind w:left="36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i/>
          <w:sz w:val="22"/>
          <w:szCs w:val="22"/>
        </w:rPr>
        <w:t>Reed Island v. U. S.</w:t>
      </w:r>
      <w:r w:rsidR="00ED6B46" w:rsidRPr="00EB33FD">
        <w:rPr>
          <w:rFonts w:ascii="Arial" w:hAnsi="Arial" w:cs="Arial"/>
          <w:i/>
          <w:sz w:val="22"/>
          <w:szCs w:val="22"/>
        </w:rPr>
        <w:t xml:space="preserve"> </w:t>
      </w:r>
      <w:r w:rsidR="00176D8A" w:rsidRPr="00EB33FD">
        <w:rPr>
          <w:rFonts w:ascii="Arial" w:hAnsi="Arial" w:cs="Arial"/>
          <w:i/>
          <w:sz w:val="22"/>
          <w:szCs w:val="22"/>
        </w:rPr>
        <w:tab/>
      </w:r>
      <w:r w:rsidR="00ED6B46" w:rsidRPr="00EB33FD">
        <w:rPr>
          <w:rFonts w:ascii="Arial" w:hAnsi="Arial" w:cs="Arial"/>
          <w:i/>
          <w:sz w:val="22"/>
          <w:szCs w:val="22"/>
        </w:rPr>
        <w:t>(Court of Federal Claims)</w:t>
      </w:r>
      <w:r w:rsidRPr="00EB33FD">
        <w:rPr>
          <w:rFonts w:ascii="Arial" w:hAnsi="Arial" w:cs="Arial"/>
          <w:i/>
          <w:sz w:val="22"/>
          <w:szCs w:val="22"/>
        </w:rPr>
        <w:t xml:space="preserve"> </w:t>
      </w:r>
      <w:r w:rsidR="00EB0D92" w:rsidRPr="00EB33FD">
        <w:rPr>
          <w:rFonts w:ascii="Arial" w:hAnsi="Arial" w:cs="Arial"/>
          <w:sz w:val="22"/>
          <w:szCs w:val="22"/>
        </w:rPr>
        <w:t>(Temporary taking – damages</w:t>
      </w:r>
      <w:r w:rsidR="009D6D8A" w:rsidRPr="00EB33FD">
        <w:rPr>
          <w:rFonts w:ascii="Arial" w:hAnsi="Arial" w:cs="Arial"/>
          <w:sz w:val="22"/>
          <w:szCs w:val="22"/>
        </w:rPr>
        <w:t xml:space="preserve">; </w:t>
      </w:r>
      <w:r w:rsidR="00176D8A" w:rsidRPr="00EB33FD">
        <w:rPr>
          <w:rFonts w:ascii="Arial" w:hAnsi="Arial" w:cs="Arial"/>
          <w:sz w:val="22"/>
          <w:szCs w:val="22"/>
        </w:rPr>
        <w:tab/>
      </w:r>
      <w:r w:rsidR="00176D8A" w:rsidRPr="00EB33FD">
        <w:rPr>
          <w:rFonts w:ascii="Arial" w:hAnsi="Arial" w:cs="Arial"/>
          <w:sz w:val="22"/>
          <w:szCs w:val="22"/>
        </w:rPr>
        <w:tab/>
      </w:r>
      <w:r w:rsidR="00176D8A" w:rsidRPr="00EB33FD">
        <w:rPr>
          <w:rFonts w:ascii="Arial" w:hAnsi="Arial" w:cs="Arial"/>
          <w:sz w:val="22"/>
          <w:szCs w:val="22"/>
        </w:rPr>
        <w:tab/>
      </w:r>
      <w:r w:rsidR="00176D8A" w:rsidRPr="00EB33FD">
        <w:rPr>
          <w:rFonts w:ascii="Arial" w:hAnsi="Arial" w:cs="Arial"/>
          <w:sz w:val="22"/>
          <w:szCs w:val="22"/>
        </w:rPr>
        <w:tab/>
      </w:r>
      <w:r w:rsidR="00176D8A" w:rsidRPr="00EB33FD">
        <w:rPr>
          <w:rFonts w:ascii="Arial" w:hAnsi="Arial" w:cs="Arial"/>
          <w:sz w:val="22"/>
          <w:szCs w:val="22"/>
        </w:rPr>
        <w:tab/>
      </w:r>
      <w:r w:rsidR="00EB33FD">
        <w:rPr>
          <w:rFonts w:ascii="Arial" w:hAnsi="Arial" w:cs="Arial"/>
          <w:sz w:val="22"/>
          <w:szCs w:val="22"/>
        </w:rPr>
        <w:tab/>
      </w:r>
      <w:r w:rsidR="009D6D8A" w:rsidRPr="00EB33FD">
        <w:rPr>
          <w:rFonts w:ascii="Arial" w:hAnsi="Arial" w:cs="Arial"/>
          <w:sz w:val="22"/>
          <w:szCs w:val="22"/>
        </w:rPr>
        <w:t>case settled 2007</w:t>
      </w:r>
      <w:r w:rsidR="00EB0D92" w:rsidRPr="00EB33FD">
        <w:rPr>
          <w:rFonts w:ascii="Arial" w:hAnsi="Arial" w:cs="Arial"/>
          <w:sz w:val="22"/>
          <w:szCs w:val="22"/>
        </w:rPr>
        <w:t>)</w:t>
      </w:r>
    </w:p>
    <w:p w:rsidR="002F37FA" w:rsidRPr="00EB33FD" w:rsidRDefault="002F37FA" w:rsidP="009D6D8A">
      <w:pPr>
        <w:numPr>
          <w:ilvl w:val="0"/>
          <w:numId w:val="23"/>
        </w:numPr>
        <w:tabs>
          <w:tab w:val="clear" w:pos="2160"/>
          <w:tab w:val="left" w:pos="-720"/>
        </w:tabs>
        <w:suppressAutoHyphens/>
        <w:spacing w:before="60" w:after="120"/>
        <w:ind w:left="360"/>
        <w:rPr>
          <w:rFonts w:ascii="Arial" w:hAnsi="Arial" w:cs="Arial"/>
          <w:i/>
          <w:sz w:val="22"/>
          <w:szCs w:val="22"/>
        </w:rPr>
      </w:pPr>
      <w:r w:rsidRPr="00EB33FD">
        <w:rPr>
          <w:rFonts w:ascii="Arial" w:hAnsi="Arial" w:cs="Arial"/>
          <w:i/>
          <w:sz w:val="22"/>
          <w:szCs w:val="22"/>
        </w:rPr>
        <w:t xml:space="preserve">HMA Contractors v. Lincoln County, et al </w:t>
      </w:r>
      <w:r w:rsidR="00C243BA" w:rsidRPr="00EB33FD">
        <w:rPr>
          <w:rFonts w:ascii="Arial" w:hAnsi="Arial" w:cs="Arial"/>
          <w:i/>
          <w:sz w:val="22"/>
          <w:szCs w:val="22"/>
        </w:rPr>
        <w:tab/>
      </w:r>
      <w:r w:rsidRPr="00EB33FD">
        <w:rPr>
          <w:rFonts w:ascii="Arial" w:hAnsi="Arial" w:cs="Arial"/>
          <w:i/>
          <w:sz w:val="22"/>
          <w:szCs w:val="22"/>
        </w:rPr>
        <w:t xml:space="preserve"> </w:t>
      </w:r>
      <w:r w:rsidRPr="00EB33FD">
        <w:rPr>
          <w:rFonts w:ascii="Arial" w:hAnsi="Arial" w:cs="Arial"/>
          <w:sz w:val="22"/>
          <w:szCs w:val="22"/>
        </w:rPr>
        <w:t>(R</w:t>
      </w:r>
      <w:r w:rsidR="00C764F4" w:rsidRPr="00EB33FD">
        <w:rPr>
          <w:rFonts w:ascii="Arial" w:hAnsi="Arial" w:cs="Arial"/>
          <w:sz w:val="22"/>
          <w:szCs w:val="22"/>
        </w:rPr>
        <w:t>egulatory taking</w:t>
      </w:r>
      <w:r w:rsidR="001A0214" w:rsidRPr="00EB33FD">
        <w:rPr>
          <w:rFonts w:ascii="Arial" w:hAnsi="Arial" w:cs="Arial"/>
          <w:sz w:val="22"/>
          <w:szCs w:val="22"/>
        </w:rPr>
        <w:t xml:space="preserve"> – Case dismissed</w:t>
      </w:r>
      <w:r w:rsidRPr="00EB33FD">
        <w:rPr>
          <w:rFonts w:ascii="Arial" w:hAnsi="Arial" w:cs="Arial"/>
          <w:sz w:val="22"/>
          <w:szCs w:val="22"/>
        </w:rPr>
        <w:t>)</w:t>
      </w:r>
    </w:p>
    <w:p w:rsidR="001064A7" w:rsidRPr="00EB33FD" w:rsidRDefault="001064A7" w:rsidP="00EB33FD">
      <w:pPr>
        <w:pStyle w:val="ListParagraph"/>
        <w:numPr>
          <w:ilvl w:val="0"/>
          <w:numId w:val="23"/>
        </w:numPr>
        <w:tabs>
          <w:tab w:val="clear" w:pos="2160"/>
          <w:tab w:val="num" w:pos="360"/>
        </w:tabs>
        <w:spacing w:after="120"/>
        <w:ind w:hanging="216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i/>
          <w:sz w:val="22"/>
          <w:szCs w:val="22"/>
        </w:rPr>
        <w:lastRenderedPageBreak/>
        <w:t>Chancellor Manor v. U. S</w:t>
      </w:r>
      <w:r w:rsidRPr="00EB33FD">
        <w:rPr>
          <w:rFonts w:ascii="Arial" w:hAnsi="Arial" w:cs="Arial"/>
          <w:sz w:val="22"/>
          <w:szCs w:val="22"/>
        </w:rPr>
        <w:t>.</w:t>
      </w:r>
      <w:r w:rsidR="004735F0" w:rsidRPr="00EB33FD">
        <w:rPr>
          <w:rFonts w:ascii="Arial" w:hAnsi="Arial" w:cs="Arial"/>
          <w:sz w:val="22"/>
          <w:szCs w:val="22"/>
        </w:rPr>
        <w:t>,</w:t>
      </w:r>
      <w:r w:rsidRPr="00EB33FD">
        <w:rPr>
          <w:rFonts w:ascii="Arial" w:hAnsi="Arial" w:cs="Arial"/>
          <w:sz w:val="22"/>
          <w:szCs w:val="22"/>
        </w:rPr>
        <w:t xml:space="preserve"> No. 98-39</w:t>
      </w:r>
      <w:r w:rsidR="00080B37" w:rsidRPr="00EB33FD">
        <w:rPr>
          <w:rFonts w:ascii="Arial" w:hAnsi="Arial" w:cs="Arial"/>
          <w:sz w:val="22"/>
          <w:szCs w:val="22"/>
        </w:rPr>
        <w:t>C</w:t>
      </w:r>
      <w:r w:rsidRPr="00EB33FD">
        <w:rPr>
          <w:rFonts w:ascii="Arial" w:hAnsi="Arial" w:cs="Arial"/>
          <w:sz w:val="22"/>
          <w:szCs w:val="22"/>
        </w:rPr>
        <w:t xml:space="preserve"> (Fed.Cl.</w:t>
      </w:r>
      <w:r w:rsidR="00080B37" w:rsidRPr="00EB33FD">
        <w:rPr>
          <w:rFonts w:ascii="Arial" w:hAnsi="Arial" w:cs="Arial"/>
          <w:sz w:val="22"/>
          <w:szCs w:val="22"/>
        </w:rPr>
        <w:t xml:space="preserve"> Ct.</w:t>
      </w:r>
      <w:r w:rsidRPr="00EB33FD">
        <w:rPr>
          <w:rFonts w:ascii="Arial" w:hAnsi="Arial" w:cs="Arial"/>
          <w:sz w:val="22"/>
          <w:szCs w:val="22"/>
        </w:rPr>
        <w:t>)</w:t>
      </w:r>
      <w:r w:rsidR="00984DBF" w:rsidRPr="00EB33FD">
        <w:rPr>
          <w:rFonts w:ascii="Arial" w:hAnsi="Arial" w:cs="Arial"/>
          <w:sz w:val="22"/>
          <w:szCs w:val="22"/>
        </w:rPr>
        <w:t xml:space="preserve"> </w:t>
      </w:r>
      <w:r w:rsidR="00080B37" w:rsidRPr="00EB33FD">
        <w:rPr>
          <w:rFonts w:ascii="Arial" w:hAnsi="Arial" w:cs="Arial"/>
          <w:sz w:val="22"/>
          <w:szCs w:val="22"/>
        </w:rPr>
        <w:t xml:space="preserve">Testified for plaintiff December, </w:t>
      </w:r>
      <w:r w:rsidR="00DA395C" w:rsidRPr="00EB33FD">
        <w:rPr>
          <w:rFonts w:ascii="Arial" w:hAnsi="Arial" w:cs="Arial"/>
          <w:sz w:val="22"/>
          <w:szCs w:val="22"/>
        </w:rPr>
        <w:tab/>
      </w:r>
      <w:r w:rsidR="00080B37" w:rsidRPr="00EB33FD">
        <w:rPr>
          <w:rFonts w:ascii="Arial" w:hAnsi="Arial" w:cs="Arial"/>
          <w:sz w:val="22"/>
          <w:szCs w:val="22"/>
        </w:rPr>
        <w:t>2004 at Court of Federal Claims.</w:t>
      </w:r>
      <w:r w:rsidRPr="00EB33FD">
        <w:rPr>
          <w:rFonts w:ascii="Arial" w:hAnsi="Arial" w:cs="Arial"/>
          <w:sz w:val="22"/>
          <w:szCs w:val="22"/>
        </w:rPr>
        <w:t xml:space="preserve"> </w:t>
      </w:r>
      <w:r w:rsidR="00D63877" w:rsidRPr="00EB33FD">
        <w:rPr>
          <w:rFonts w:ascii="Arial" w:hAnsi="Arial" w:cs="Arial"/>
          <w:sz w:val="22"/>
          <w:szCs w:val="22"/>
        </w:rPr>
        <w:tab/>
        <w:t>(Tempo</w:t>
      </w:r>
      <w:r w:rsidR="001B3EA6" w:rsidRPr="00EB33FD">
        <w:rPr>
          <w:rFonts w:ascii="Arial" w:hAnsi="Arial" w:cs="Arial"/>
          <w:sz w:val="22"/>
          <w:szCs w:val="22"/>
        </w:rPr>
        <w:t>rary taking</w:t>
      </w:r>
      <w:proofErr w:type="gramStart"/>
      <w:r w:rsidR="001B3EA6" w:rsidRPr="00EB33FD">
        <w:rPr>
          <w:rFonts w:ascii="Arial" w:hAnsi="Arial" w:cs="Arial"/>
          <w:sz w:val="22"/>
          <w:szCs w:val="22"/>
        </w:rPr>
        <w:t xml:space="preserve">, </w:t>
      </w:r>
      <w:r w:rsidR="00EB33FD" w:rsidRPr="00EB33FD">
        <w:rPr>
          <w:rFonts w:ascii="Arial" w:hAnsi="Arial" w:cs="Arial"/>
          <w:sz w:val="22"/>
          <w:szCs w:val="22"/>
        </w:rPr>
        <w:t xml:space="preserve"> </w:t>
      </w:r>
      <w:r w:rsidR="001B3EA6" w:rsidRPr="00EB33FD">
        <w:rPr>
          <w:rFonts w:ascii="Arial" w:hAnsi="Arial" w:cs="Arial"/>
          <w:sz w:val="22"/>
          <w:szCs w:val="22"/>
        </w:rPr>
        <w:t>decision</w:t>
      </w:r>
      <w:proofErr w:type="gramEnd"/>
      <w:r w:rsidR="001B3EA6" w:rsidRPr="00EB33FD">
        <w:rPr>
          <w:rFonts w:ascii="Arial" w:hAnsi="Arial" w:cs="Arial"/>
          <w:sz w:val="22"/>
          <w:szCs w:val="22"/>
        </w:rPr>
        <w:t xml:space="preserve"> for the plaintiff August 29, 2005. </w:t>
      </w:r>
      <w:r w:rsidR="00685E23" w:rsidRPr="00EB33FD">
        <w:rPr>
          <w:rFonts w:ascii="Arial" w:hAnsi="Arial" w:cs="Arial"/>
          <w:sz w:val="22"/>
          <w:szCs w:val="22"/>
        </w:rPr>
        <w:t xml:space="preserve"> </w:t>
      </w:r>
      <w:r w:rsidR="001B3EA6" w:rsidRPr="00EB33FD">
        <w:rPr>
          <w:rFonts w:ascii="Arial" w:hAnsi="Arial" w:cs="Arial"/>
          <w:sz w:val="22"/>
          <w:szCs w:val="22"/>
        </w:rPr>
        <w:t>$17 million award</w:t>
      </w:r>
      <w:r w:rsidR="009D6D8A" w:rsidRPr="00EB33FD">
        <w:rPr>
          <w:rFonts w:ascii="Arial" w:hAnsi="Arial" w:cs="Arial"/>
          <w:sz w:val="22"/>
          <w:szCs w:val="22"/>
        </w:rPr>
        <w:t xml:space="preserve"> (</w:t>
      </w:r>
      <w:r w:rsidR="009D6D8A" w:rsidRPr="00EB33FD">
        <w:rPr>
          <w:rFonts w:ascii="Arial" w:hAnsi="Arial" w:cs="Arial"/>
          <w:i/>
          <w:sz w:val="22"/>
          <w:szCs w:val="22"/>
        </w:rPr>
        <w:t>“Cienega IX”);</w:t>
      </w:r>
      <w:r w:rsidR="009D6D8A" w:rsidRPr="00EB33FD">
        <w:rPr>
          <w:rFonts w:ascii="Arial" w:hAnsi="Arial" w:cs="Arial"/>
          <w:sz w:val="22"/>
          <w:szCs w:val="22"/>
        </w:rPr>
        <w:t xml:space="preserve"> overturned by Fed.</w:t>
      </w:r>
      <w:r w:rsidR="00675FF4" w:rsidRPr="00EB33FD">
        <w:rPr>
          <w:rFonts w:ascii="Arial" w:hAnsi="Arial" w:cs="Arial"/>
          <w:sz w:val="22"/>
          <w:szCs w:val="22"/>
        </w:rPr>
        <w:t xml:space="preserve"> </w:t>
      </w:r>
      <w:r w:rsidR="009D6D8A" w:rsidRPr="00EB33FD">
        <w:rPr>
          <w:rFonts w:ascii="Arial" w:hAnsi="Arial" w:cs="Arial"/>
          <w:sz w:val="22"/>
          <w:szCs w:val="22"/>
        </w:rPr>
        <w:t>Cir. S</w:t>
      </w:r>
      <w:r w:rsidR="00DA395C" w:rsidRPr="00EB33FD">
        <w:rPr>
          <w:rFonts w:ascii="Arial" w:hAnsi="Arial" w:cs="Arial"/>
          <w:sz w:val="22"/>
          <w:szCs w:val="22"/>
        </w:rPr>
        <w:t>ept.</w:t>
      </w:r>
      <w:r w:rsidR="009D6D8A" w:rsidRPr="00EB33FD">
        <w:rPr>
          <w:rFonts w:ascii="Arial" w:hAnsi="Arial" w:cs="Arial"/>
          <w:sz w:val="22"/>
          <w:szCs w:val="22"/>
        </w:rPr>
        <w:t xml:space="preserve"> 2007,</w:t>
      </w:r>
      <w:r w:rsidR="00675FF4" w:rsidRPr="00EB33FD">
        <w:rPr>
          <w:rFonts w:ascii="Arial" w:hAnsi="Arial" w:cs="Arial"/>
          <w:sz w:val="22"/>
          <w:szCs w:val="22"/>
        </w:rPr>
        <w:t xml:space="preserve"> </w:t>
      </w:r>
      <w:r w:rsidR="009D6D8A" w:rsidRPr="00EB33FD">
        <w:rPr>
          <w:rFonts w:ascii="Arial" w:hAnsi="Arial" w:cs="Arial"/>
          <w:i/>
          <w:sz w:val="22"/>
          <w:szCs w:val="22"/>
        </w:rPr>
        <w:t>“Cienega X</w:t>
      </w:r>
      <w:r w:rsidR="009D05D9" w:rsidRPr="00EB33FD">
        <w:rPr>
          <w:rFonts w:ascii="Arial" w:hAnsi="Arial" w:cs="Arial"/>
          <w:i/>
          <w:sz w:val="22"/>
          <w:szCs w:val="22"/>
        </w:rPr>
        <w:t>.</w:t>
      </w:r>
      <w:r w:rsidR="009D6D8A" w:rsidRPr="00EB33FD">
        <w:rPr>
          <w:rFonts w:ascii="Arial" w:hAnsi="Arial" w:cs="Arial"/>
          <w:i/>
          <w:sz w:val="22"/>
          <w:szCs w:val="22"/>
        </w:rPr>
        <w:t>”</w:t>
      </w:r>
      <w:r w:rsidR="00984DBF" w:rsidRPr="00EB33FD">
        <w:rPr>
          <w:rFonts w:ascii="Arial" w:hAnsi="Arial" w:cs="Arial"/>
          <w:i/>
          <w:sz w:val="22"/>
          <w:szCs w:val="22"/>
        </w:rPr>
        <w:t>)</w:t>
      </w:r>
    </w:p>
    <w:p w:rsidR="001064A7" w:rsidRPr="00EB33FD" w:rsidRDefault="001064A7" w:rsidP="00DD0088">
      <w:pPr>
        <w:numPr>
          <w:ilvl w:val="0"/>
          <w:numId w:val="3"/>
        </w:numPr>
        <w:tabs>
          <w:tab w:val="left" w:pos="360"/>
        </w:tabs>
        <w:spacing w:after="120"/>
        <w:ind w:left="3600" w:hanging="360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i/>
          <w:sz w:val="22"/>
          <w:szCs w:val="22"/>
        </w:rPr>
        <w:t xml:space="preserve">Palazzolo v. Rhode Island </w:t>
      </w:r>
      <w:r w:rsidR="00DD0088" w:rsidRPr="00EB33FD">
        <w:rPr>
          <w:rFonts w:ascii="Arial" w:hAnsi="Arial" w:cs="Arial"/>
          <w:i/>
          <w:sz w:val="22"/>
          <w:szCs w:val="22"/>
        </w:rPr>
        <w:tab/>
      </w:r>
      <w:r w:rsidR="00050A46" w:rsidRPr="00EB33FD">
        <w:rPr>
          <w:rFonts w:ascii="Arial" w:hAnsi="Arial" w:cs="Arial"/>
          <w:sz w:val="22"/>
          <w:szCs w:val="22"/>
        </w:rPr>
        <w:t>Testified June</w:t>
      </w:r>
      <w:r w:rsidRPr="00EB33FD">
        <w:rPr>
          <w:rFonts w:ascii="Arial" w:hAnsi="Arial" w:cs="Arial"/>
          <w:sz w:val="22"/>
          <w:szCs w:val="22"/>
        </w:rPr>
        <w:t xml:space="preserve"> 2004 in Rhode Island for plaintiff</w:t>
      </w:r>
      <w:r w:rsidRPr="00EB33FD">
        <w:rPr>
          <w:rFonts w:ascii="Arial" w:hAnsi="Arial" w:cs="Arial"/>
          <w:i/>
          <w:sz w:val="22"/>
          <w:szCs w:val="22"/>
        </w:rPr>
        <w:t>.</w:t>
      </w:r>
      <w:r w:rsidR="001B3EA6" w:rsidRPr="00EB33FD">
        <w:rPr>
          <w:rFonts w:ascii="Arial" w:hAnsi="Arial" w:cs="Arial"/>
          <w:i/>
          <w:sz w:val="22"/>
          <w:szCs w:val="22"/>
        </w:rPr>
        <w:t xml:space="preserve"> </w:t>
      </w:r>
      <w:r w:rsidR="001B3EA6" w:rsidRPr="00EB33FD">
        <w:rPr>
          <w:rFonts w:ascii="Arial" w:hAnsi="Arial" w:cs="Arial"/>
          <w:sz w:val="22"/>
          <w:szCs w:val="22"/>
        </w:rPr>
        <w:t>(</w:t>
      </w:r>
      <w:r w:rsidR="00A82F5A" w:rsidRPr="00EB33FD">
        <w:rPr>
          <w:rFonts w:ascii="Arial" w:hAnsi="Arial" w:cs="Arial"/>
          <w:sz w:val="22"/>
          <w:szCs w:val="22"/>
        </w:rPr>
        <w:t>D</w:t>
      </w:r>
      <w:r w:rsidR="001B3EA6" w:rsidRPr="00EB33FD">
        <w:rPr>
          <w:rFonts w:ascii="Arial" w:hAnsi="Arial" w:cs="Arial"/>
          <w:sz w:val="22"/>
          <w:szCs w:val="22"/>
        </w:rPr>
        <w:t>ecision for defendant, 2005</w:t>
      </w:r>
      <w:r w:rsidR="00E00500" w:rsidRPr="00EB33FD">
        <w:rPr>
          <w:rFonts w:ascii="Arial" w:hAnsi="Arial" w:cs="Arial"/>
          <w:sz w:val="22"/>
          <w:szCs w:val="22"/>
        </w:rPr>
        <w:t>,</w:t>
      </w:r>
      <w:r w:rsidR="001B3EA6" w:rsidRPr="00EB33FD">
        <w:rPr>
          <w:rFonts w:ascii="Arial" w:hAnsi="Arial" w:cs="Arial"/>
          <w:sz w:val="22"/>
          <w:szCs w:val="22"/>
        </w:rPr>
        <w:t xml:space="preserve"> based on science and </w:t>
      </w:r>
      <w:r w:rsidR="00DD0088" w:rsidRPr="00EB33FD">
        <w:rPr>
          <w:rFonts w:ascii="Arial" w:hAnsi="Arial" w:cs="Arial"/>
          <w:sz w:val="22"/>
          <w:szCs w:val="22"/>
        </w:rPr>
        <w:t>e</w:t>
      </w:r>
      <w:r w:rsidR="001B3EA6" w:rsidRPr="00EB33FD">
        <w:rPr>
          <w:rFonts w:ascii="Arial" w:hAnsi="Arial" w:cs="Arial"/>
          <w:sz w:val="22"/>
          <w:szCs w:val="22"/>
        </w:rPr>
        <w:t>ngineering</w:t>
      </w:r>
      <w:r w:rsidR="009D05D9" w:rsidRPr="00EB33FD">
        <w:rPr>
          <w:rFonts w:ascii="Arial" w:hAnsi="Arial" w:cs="Arial"/>
          <w:sz w:val="22"/>
          <w:szCs w:val="22"/>
        </w:rPr>
        <w:t>.</w:t>
      </w:r>
      <w:r w:rsidR="001B3EA6" w:rsidRPr="00EB33FD">
        <w:rPr>
          <w:rFonts w:ascii="Arial" w:hAnsi="Arial" w:cs="Arial"/>
          <w:sz w:val="22"/>
          <w:szCs w:val="22"/>
        </w:rPr>
        <w:t>)</w:t>
      </w:r>
    </w:p>
    <w:p w:rsidR="00EB33FD" w:rsidRDefault="001064A7" w:rsidP="003C3A3D">
      <w:pPr>
        <w:numPr>
          <w:ilvl w:val="0"/>
          <w:numId w:val="3"/>
        </w:numPr>
        <w:spacing w:after="120"/>
        <w:ind w:left="360" w:right="-450"/>
        <w:rPr>
          <w:rFonts w:ascii="Arial" w:hAnsi="Arial" w:cs="Arial"/>
          <w:sz w:val="22"/>
          <w:szCs w:val="22"/>
        </w:rPr>
      </w:pPr>
      <w:r w:rsidRPr="00F47676">
        <w:rPr>
          <w:rFonts w:ascii="Arial" w:hAnsi="Arial" w:cs="Arial"/>
          <w:i/>
          <w:sz w:val="22"/>
          <w:szCs w:val="22"/>
        </w:rPr>
        <w:t xml:space="preserve">K&amp;K v. Michigan DNR, </w:t>
      </w:r>
      <w:r w:rsidR="00DA395C" w:rsidRPr="00F47676">
        <w:rPr>
          <w:rFonts w:ascii="Arial" w:hAnsi="Arial" w:cs="Arial"/>
          <w:i/>
          <w:sz w:val="22"/>
          <w:szCs w:val="22"/>
        </w:rPr>
        <w:tab/>
      </w:r>
      <w:r w:rsidR="00DB2078" w:rsidRPr="00F47676">
        <w:rPr>
          <w:rFonts w:ascii="Arial" w:hAnsi="Arial" w:cs="Arial"/>
          <w:i/>
          <w:sz w:val="22"/>
          <w:szCs w:val="22"/>
        </w:rPr>
        <w:tab/>
      </w:r>
      <w:r w:rsidRPr="00F47676">
        <w:rPr>
          <w:rFonts w:ascii="Arial" w:hAnsi="Arial" w:cs="Arial"/>
          <w:sz w:val="22"/>
          <w:szCs w:val="22"/>
        </w:rPr>
        <w:t>Decision for plaintiff May 28, 2002; (</w:t>
      </w:r>
      <w:r w:rsidRPr="00F47676">
        <w:rPr>
          <w:rFonts w:ascii="Arial" w:hAnsi="Arial" w:cs="Arial"/>
          <w:i/>
          <w:sz w:val="22"/>
          <w:szCs w:val="22"/>
        </w:rPr>
        <w:t xml:space="preserve">K&amp;K v. Michigan </w:t>
      </w:r>
      <w:r w:rsidR="00DA395C" w:rsidRPr="00F47676">
        <w:rPr>
          <w:rFonts w:ascii="Arial" w:hAnsi="Arial" w:cs="Arial"/>
          <w:i/>
          <w:sz w:val="22"/>
          <w:szCs w:val="22"/>
        </w:rPr>
        <w:tab/>
      </w:r>
      <w:r w:rsidR="00DA395C" w:rsidRPr="00F47676">
        <w:rPr>
          <w:rFonts w:ascii="Arial" w:hAnsi="Arial" w:cs="Arial"/>
          <w:i/>
          <w:sz w:val="22"/>
          <w:szCs w:val="22"/>
        </w:rPr>
        <w:tab/>
      </w:r>
      <w:r w:rsidR="00DA395C" w:rsidRPr="00F47676">
        <w:rPr>
          <w:rFonts w:ascii="Arial" w:hAnsi="Arial" w:cs="Arial"/>
          <w:i/>
          <w:sz w:val="22"/>
          <w:szCs w:val="22"/>
        </w:rPr>
        <w:tab/>
      </w:r>
      <w:r w:rsidR="00DA395C" w:rsidRPr="00F47676">
        <w:rPr>
          <w:rFonts w:ascii="Arial" w:hAnsi="Arial" w:cs="Arial"/>
          <w:i/>
          <w:sz w:val="22"/>
          <w:szCs w:val="22"/>
        </w:rPr>
        <w:tab/>
      </w:r>
      <w:r w:rsidR="00DA395C" w:rsidRPr="00F47676">
        <w:rPr>
          <w:rFonts w:ascii="Arial" w:hAnsi="Arial" w:cs="Arial"/>
          <w:i/>
          <w:sz w:val="22"/>
          <w:szCs w:val="22"/>
        </w:rPr>
        <w:tab/>
      </w:r>
      <w:r w:rsidR="003C3A3D">
        <w:rPr>
          <w:rFonts w:ascii="Arial" w:hAnsi="Arial" w:cs="Arial"/>
          <w:i/>
          <w:sz w:val="22"/>
          <w:szCs w:val="22"/>
        </w:rPr>
        <w:t xml:space="preserve">           </w:t>
      </w:r>
      <w:r w:rsidRPr="00F47676">
        <w:rPr>
          <w:rFonts w:ascii="Arial" w:hAnsi="Arial" w:cs="Arial"/>
          <w:i/>
          <w:sz w:val="22"/>
          <w:szCs w:val="22"/>
        </w:rPr>
        <w:t>DEQ</w:t>
      </w:r>
      <w:r w:rsidR="00CB2CD1" w:rsidRPr="00F47676">
        <w:rPr>
          <w:rFonts w:ascii="Arial" w:hAnsi="Arial" w:cs="Arial"/>
          <w:sz w:val="22"/>
          <w:szCs w:val="22"/>
        </w:rPr>
        <w:t>, $</w:t>
      </w:r>
      <w:r w:rsidRPr="00F47676">
        <w:rPr>
          <w:rFonts w:ascii="Arial" w:hAnsi="Arial" w:cs="Arial"/>
          <w:sz w:val="22"/>
          <w:szCs w:val="22"/>
        </w:rPr>
        <w:t>16.5 million award, File No. 88-12120-CM</w:t>
      </w:r>
      <w:r w:rsidR="00080B37" w:rsidRPr="00F47676">
        <w:rPr>
          <w:rFonts w:ascii="Arial" w:hAnsi="Arial" w:cs="Arial"/>
          <w:sz w:val="22"/>
          <w:szCs w:val="22"/>
        </w:rPr>
        <w:t>,</w:t>
      </w:r>
      <w:r w:rsidRPr="00F47676">
        <w:rPr>
          <w:rFonts w:ascii="Arial" w:hAnsi="Arial" w:cs="Arial"/>
          <w:sz w:val="22"/>
          <w:szCs w:val="22"/>
        </w:rPr>
        <w:t xml:space="preserve"> October 7, </w:t>
      </w:r>
      <w:r w:rsidR="00DA395C" w:rsidRPr="00F47676">
        <w:rPr>
          <w:rFonts w:ascii="Arial" w:hAnsi="Arial" w:cs="Arial"/>
          <w:sz w:val="22"/>
          <w:szCs w:val="22"/>
        </w:rPr>
        <w:tab/>
      </w:r>
      <w:r w:rsidR="00DA395C" w:rsidRPr="00F47676">
        <w:rPr>
          <w:rFonts w:ascii="Arial" w:hAnsi="Arial" w:cs="Arial"/>
          <w:sz w:val="22"/>
          <w:szCs w:val="22"/>
        </w:rPr>
        <w:tab/>
      </w:r>
      <w:r w:rsidR="00DA395C" w:rsidRPr="00F47676">
        <w:rPr>
          <w:rFonts w:ascii="Arial" w:hAnsi="Arial" w:cs="Arial"/>
          <w:sz w:val="22"/>
          <w:szCs w:val="22"/>
        </w:rPr>
        <w:tab/>
      </w:r>
      <w:r w:rsidR="00DA395C" w:rsidRPr="00F47676">
        <w:rPr>
          <w:rFonts w:ascii="Arial" w:hAnsi="Arial" w:cs="Arial"/>
          <w:sz w:val="22"/>
          <w:szCs w:val="22"/>
        </w:rPr>
        <w:tab/>
      </w:r>
      <w:r w:rsidR="00F47676" w:rsidRPr="00F47676">
        <w:rPr>
          <w:rFonts w:ascii="Arial" w:hAnsi="Arial" w:cs="Arial"/>
          <w:sz w:val="22"/>
          <w:szCs w:val="22"/>
        </w:rPr>
        <w:tab/>
      </w:r>
      <w:r w:rsidRPr="00F47676">
        <w:rPr>
          <w:rFonts w:ascii="Arial" w:hAnsi="Arial" w:cs="Arial"/>
          <w:sz w:val="22"/>
          <w:szCs w:val="22"/>
        </w:rPr>
        <w:t>2002</w:t>
      </w:r>
      <w:r w:rsidR="003B7BD6" w:rsidRPr="00F47676">
        <w:rPr>
          <w:rFonts w:ascii="Arial" w:hAnsi="Arial" w:cs="Arial"/>
          <w:sz w:val="22"/>
          <w:szCs w:val="22"/>
        </w:rPr>
        <w:t>. R</w:t>
      </w:r>
      <w:r w:rsidR="001B3EA6" w:rsidRPr="00F47676">
        <w:rPr>
          <w:rFonts w:ascii="Arial" w:hAnsi="Arial" w:cs="Arial"/>
          <w:sz w:val="22"/>
          <w:szCs w:val="22"/>
        </w:rPr>
        <w:t>eversed 2005</w:t>
      </w:r>
      <w:r w:rsidR="00E00500" w:rsidRPr="00F47676">
        <w:rPr>
          <w:rFonts w:ascii="Arial" w:hAnsi="Arial" w:cs="Arial"/>
          <w:sz w:val="22"/>
          <w:szCs w:val="22"/>
        </w:rPr>
        <w:t>; appealed for error to MI Supreme</w:t>
      </w:r>
      <w:r w:rsidR="003C3A3D">
        <w:rPr>
          <w:rFonts w:ascii="Arial" w:hAnsi="Arial" w:cs="Arial"/>
          <w:sz w:val="22"/>
          <w:szCs w:val="22"/>
        </w:rPr>
        <w:t xml:space="preserve"> </w:t>
      </w:r>
      <w:r w:rsidR="00E00500" w:rsidRPr="00F47676">
        <w:rPr>
          <w:rFonts w:ascii="Arial" w:hAnsi="Arial" w:cs="Arial"/>
          <w:sz w:val="22"/>
          <w:szCs w:val="22"/>
        </w:rPr>
        <w:t>Court</w:t>
      </w:r>
      <w:r w:rsidR="00DA395C" w:rsidRPr="00F47676">
        <w:rPr>
          <w:rFonts w:ascii="Arial" w:hAnsi="Arial" w:cs="Arial"/>
          <w:sz w:val="22"/>
          <w:szCs w:val="22"/>
        </w:rPr>
        <w:t xml:space="preserve">; </w:t>
      </w:r>
    </w:p>
    <w:p w:rsidR="00F47676" w:rsidRPr="00564C0A" w:rsidRDefault="00564C0A" w:rsidP="00564C0A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64C0A">
        <w:rPr>
          <w:rFonts w:ascii="Arial" w:hAnsi="Arial" w:cs="Arial"/>
          <w:b/>
          <w:sz w:val="22"/>
          <w:szCs w:val="22"/>
          <w:u w:val="single"/>
        </w:rPr>
        <w:t>Complex Development Projects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564C0A" w:rsidRDefault="001064A7" w:rsidP="00564C0A">
      <w:pPr>
        <w:spacing w:after="12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For five years</w:t>
      </w:r>
      <w:r w:rsidR="000514D4" w:rsidRPr="00EB33FD">
        <w:rPr>
          <w:rFonts w:ascii="Arial" w:hAnsi="Arial" w:cs="Arial"/>
          <w:sz w:val="22"/>
          <w:szCs w:val="22"/>
        </w:rPr>
        <w:t>, 1995-1999,</w:t>
      </w:r>
      <w:r w:rsidRPr="00EB33FD">
        <w:rPr>
          <w:rFonts w:ascii="Arial" w:hAnsi="Arial" w:cs="Arial"/>
          <w:sz w:val="22"/>
          <w:szCs w:val="22"/>
        </w:rPr>
        <w:t xml:space="preserve"> he </w:t>
      </w:r>
      <w:r w:rsidR="000514D4" w:rsidRPr="00EB33FD">
        <w:rPr>
          <w:rFonts w:ascii="Arial" w:hAnsi="Arial" w:cs="Arial"/>
          <w:sz w:val="22"/>
          <w:szCs w:val="22"/>
        </w:rPr>
        <w:t>was</w:t>
      </w:r>
      <w:r w:rsidRPr="00EB33FD">
        <w:rPr>
          <w:rFonts w:ascii="Arial" w:hAnsi="Arial" w:cs="Arial"/>
          <w:sz w:val="22"/>
          <w:szCs w:val="22"/>
        </w:rPr>
        <w:t xml:space="preserve"> involved in planning and evaluating the financial feasibility of various combinations of</w:t>
      </w:r>
      <w:r w:rsidR="00EB33FD" w:rsidRPr="00EB33FD">
        <w:rPr>
          <w:rFonts w:ascii="Arial" w:hAnsi="Arial" w:cs="Arial"/>
          <w:sz w:val="22"/>
          <w:szCs w:val="22"/>
        </w:rPr>
        <w:t xml:space="preserve"> recreation</w:t>
      </w:r>
      <w:r w:rsidRPr="00EB33FD">
        <w:rPr>
          <w:rFonts w:ascii="Arial" w:hAnsi="Arial" w:cs="Arial"/>
          <w:sz w:val="22"/>
          <w:szCs w:val="22"/>
        </w:rPr>
        <w:t xml:space="preserve"> facilities</w:t>
      </w:r>
      <w:r w:rsidR="00EB33FD" w:rsidRPr="00EB33FD">
        <w:rPr>
          <w:rFonts w:ascii="Arial" w:hAnsi="Arial" w:cs="Arial"/>
          <w:sz w:val="22"/>
          <w:szCs w:val="22"/>
        </w:rPr>
        <w:t xml:space="preserve"> and hotel</w:t>
      </w:r>
      <w:r w:rsidR="00EF5DCB" w:rsidRPr="00EB33FD">
        <w:rPr>
          <w:rFonts w:ascii="Arial" w:hAnsi="Arial" w:cs="Arial"/>
          <w:sz w:val="22"/>
          <w:szCs w:val="22"/>
        </w:rPr>
        <w:t xml:space="preserve"> development within a $250 million</w:t>
      </w:r>
      <w:r w:rsidRPr="00EB33FD">
        <w:rPr>
          <w:rFonts w:ascii="Arial" w:hAnsi="Arial" w:cs="Arial"/>
          <w:sz w:val="22"/>
          <w:szCs w:val="22"/>
        </w:rPr>
        <w:t xml:space="preserve"> development</w:t>
      </w:r>
      <w:r w:rsidR="00080B37" w:rsidRPr="00EB33FD">
        <w:rPr>
          <w:rFonts w:ascii="Arial" w:hAnsi="Arial" w:cs="Arial"/>
          <w:sz w:val="22"/>
          <w:szCs w:val="22"/>
        </w:rPr>
        <w:t xml:space="preserve"> project</w:t>
      </w:r>
      <w:r w:rsidRPr="00EB33FD">
        <w:rPr>
          <w:rFonts w:ascii="Arial" w:hAnsi="Arial" w:cs="Arial"/>
          <w:sz w:val="22"/>
          <w:szCs w:val="22"/>
        </w:rPr>
        <w:t xml:space="preserve"> as part of M</w:t>
      </w:r>
      <w:r w:rsidR="000514D4" w:rsidRPr="00EB33FD">
        <w:rPr>
          <w:rFonts w:ascii="Arial" w:hAnsi="Arial" w:cs="Arial"/>
          <w:sz w:val="22"/>
          <w:szCs w:val="22"/>
        </w:rPr>
        <w:t xml:space="preserve">etropolitan Water District’s Diamond Valley </w:t>
      </w:r>
      <w:r w:rsidRPr="00EB33FD">
        <w:rPr>
          <w:rFonts w:ascii="Arial" w:hAnsi="Arial" w:cs="Arial"/>
          <w:sz w:val="22"/>
          <w:szCs w:val="22"/>
        </w:rPr>
        <w:t>reservoir in Southern California.</w:t>
      </w:r>
      <w:r w:rsidR="00BD61B8" w:rsidRPr="00EB33FD">
        <w:rPr>
          <w:rFonts w:ascii="Arial" w:hAnsi="Arial" w:cs="Arial"/>
          <w:sz w:val="22"/>
          <w:szCs w:val="22"/>
        </w:rPr>
        <w:t xml:space="preserve"> </w:t>
      </w:r>
      <w:r w:rsidRPr="00EB33FD">
        <w:rPr>
          <w:rFonts w:ascii="Arial" w:hAnsi="Arial" w:cs="Arial"/>
          <w:sz w:val="22"/>
          <w:szCs w:val="22"/>
        </w:rPr>
        <w:t xml:space="preserve"> </w:t>
      </w:r>
    </w:p>
    <w:p w:rsidR="00037762" w:rsidRDefault="00BD61B8">
      <w:pPr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During 2008 &amp; 2009, he conducted economic studies for the ill-fated Nashville Bells Bend multi-billion dollar mixed commercial and residential project</w:t>
      </w:r>
      <w:r w:rsidR="00D1509E" w:rsidRPr="00EB33FD">
        <w:rPr>
          <w:rFonts w:ascii="Arial" w:hAnsi="Arial" w:cs="Arial"/>
          <w:sz w:val="22"/>
          <w:szCs w:val="22"/>
        </w:rPr>
        <w:t xml:space="preserve"> in Nashville TN</w:t>
      </w:r>
      <w:r w:rsidRPr="00EB33FD">
        <w:rPr>
          <w:rFonts w:ascii="Arial" w:hAnsi="Arial" w:cs="Arial"/>
          <w:sz w:val="22"/>
          <w:szCs w:val="22"/>
        </w:rPr>
        <w:t xml:space="preserve">.  </w:t>
      </w:r>
    </w:p>
    <w:p w:rsidR="00564C0A" w:rsidRPr="00EB33FD" w:rsidRDefault="00564C0A">
      <w:pPr>
        <w:rPr>
          <w:rFonts w:ascii="Arial" w:hAnsi="Arial" w:cs="Arial"/>
          <w:sz w:val="22"/>
          <w:szCs w:val="22"/>
        </w:rPr>
      </w:pPr>
    </w:p>
    <w:p w:rsidR="00564C0A" w:rsidRPr="00564C0A" w:rsidRDefault="00564C0A" w:rsidP="00564C0A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64C0A">
        <w:rPr>
          <w:rFonts w:ascii="Arial" w:hAnsi="Arial" w:cs="Arial"/>
          <w:b/>
          <w:sz w:val="22"/>
          <w:szCs w:val="22"/>
          <w:u w:val="single"/>
        </w:rPr>
        <w:t>Publications:</w:t>
      </w:r>
    </w:p>
    <w:p w:rsidR="00364D4D" w:rsidRPr="00EB33FD" w:rsidRDefault="001064A7">
      <w:pPr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Dr. Wade's</w:t>
      </w:r>
      <w:r w:rsidR="00931581" w:rsidRPr="00EB33FD">
        <w:rPr>
          <w:rFonts w:ascii="Arial" w:hAnsi="Arial" w:cs="Arial"/>
          <w:sz w:val="22"/>
          <w:szCs w:val="22"/>
        </w:rPr>
        <w:t xml:space="preserve"> </w:t>
      </w:r>
      <w:r w:rsidR="00BF4A13" w:rsidRPr="00EB33FD">
        <w:rPr>
          <w:rFonts w:ascii="Arial" w:hAnsi="Arial" w:cs="Arial"/>
          <w:sz w:val="22"/>
          <w:szCs w:val="22"/>
        </w:rPr>
        <w:t xml:space="preserve">published articles and </w:t>
      </w:r>
      <w:r w:rsidRPr="00EB33FD">
        <w:rPr>
          <w:rFonts w:ascii="Arial" w:hAnsi="Arial" w:cs="Arial"/>
          <w:sz w:val="22"/>
          <w:szCs w:val="22"/>
        </w:rPr>
        <w:t xml:space="preserve">CLE presentations have sought to infuse economic rigor and understanding of financial language poorly used in takings cases. </w:t>
      </w:r>
    </w:p>
    <w:p w:rsidR="00364D4D" w:rsidRPr="00EB33FD" w:rsidRDefault="00364D4D">
      <w:pPr>
        <w:rPr>
          <w:rFonts w:ascii="Arial" w:hAnsi="Arial" w:cs="Arial"/>
          <w:sz w:val="22"/>
          <w:szCs w:val="22"/>
        </w:rPr>
      </w:pPr>
    </w:p>
    <w:p w:rsidR="0044450C" w:rsidRPr="00EB33FD" w:rsidRDefault="00364D4D" w:rsidP="00564C0A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b/>
          <w:sz w:val="22"/>
          <w:szCs w:val="22"/>
          <w:u w:val="single"/>
        </w:rPr>
        <w:t>Article</w:t>
      </w:r>
      <w:r w:rsidR="00687C4B" w:rsidRPr="00EB33FD">
        <w:rPr>
          <w:rFonts w:ascii="Arial" w:hAnsi="Arial" w:cs="Arial"/>
          <w:b/>
          <w:sz w:val="22"/>
          <w:szCs w:val="22"/>
          <w:u w:val="single"/>
        </w:rPr>
        <w:t>s</w:t>
      </w:r>
      <w:r w:rsidRPr="00EB33FD">
        <w:rPr>
          <w:rFonts w:ascii="Arial" w:hAnsi="Arial" w:cs="Arial"/>
          <w:b/>
          <w:sz w:val="22"/>
          <w:szCs w:val="22"/>
          <w:u w:val="single"/>
        </w:rPr>
        <w:t xml:space="preserve"> in Draft:</w:t>
      </w:r>
      <w:r w:rsidRPr="00EB33FD">
        <w:rPr>
          <w:rFonts w:ascii="Arial" w:hAnsi="Arial" w:cs="Arial"/>
          <w:sz w:val="22"/>
          <w:szCs w:val="22"/>
        </w:rPr>
        <w:t xml:space="preserve"> </w:t>
      </w:r>
    </w:p>
    <w:p w:rsidR="00687C4B" w:rsidRDefault="0046238F" w:rsidP="00564C0A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 </w:t>
      </w:r>
      <w:r w:rsidR="006E4FEE" w:rsidRPr="00EB33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B2078" w:rsidRPr="00EB33FD">
        <w:rPr>
          <w:rFonts w:ascii="Arial" w:hAnsi="Arial" w:cs="Arial"/>
          <w:sz w:val="22"/>
          <w:szCs w:val="22"/>
        </w:rPr>
        <w:t xml:space="preserve">“Texas Groundwater, Regulatory Takings and the </w:t>
      </w:r>
      <w:r w:rsidR="00DB2078" w:rsidRPr="00EB33FD">
        <w:rPr>
          <w:rFonts w:ascii="Arial" w:hAnsi="Arial" w:cs="Arial"/>
          <w:i/>
          <w:sz w:val="22"/>
          <w:szCs w:val="22"/>
        </w:rPr>
        <w:t>Day</w:t>
      </w:r>
      <w:r w:rsidR="00DB2078" w:rsidRPr="00EB33FD">
        <w:rPr>
          <w:rFonts w:ascii="Arial" w:hAnsi="Arial" w:cs="Arial"/>
          <w:sz w:val="22"/>
          <w:szCs w:val="22"/>
        </w:rPr>
        <w:t xml:space="preserve"> Decision,” blog note, July 17, 2013.</w:t>
      </w:r>
      <w:proofErr w:type="gramEnd"/>
    </w:p>
    <w:p w:rsidR="00040184" w:rsidRDefault="00040184" w:rsidP="003B7BD6">
      <w:pPr>
        <w:spacing w:after="120"/>
        <w:rPr>
          <w:rFonts w:ascii="Arial" w:hAnsi="Arial" w:cs="Arial"/>
          <w:sz w:val="22"/>
          <w:szCs w:val="22"/>
        </w:rPr>
      </w:pPr>
    </w:p>
    <w:p w:rsidR="003B7BD6" w:rsidRDefault="00685E23" w:rsidP="003B7BD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EB33FD">
        <w:rPr>
          <w:rFonts w:ascii="Arial" w:hAnsi="Arial" w:cs="Arial"/>
          <w:sz w:val="22"/>
          <w:szCs w:val="22"/>
        </w:rPr>
        <w:t xml:space="preserve"> </w:t>
      </w:r>
      <w:r w:rsidR="001064A7" w:rsidRPr="00EB33FD">
        <w:rPr>
          <w:rFonts w:ascii="Arial" w:hAnsi="Arial" w:cs="Arial"/>
          <w:b/>
          <w:sz w:val="22"/>
          <w:szCs w:val="22"/>
          <w:u w:val="single"/>
        </w:rPr>
        <w:t xml:space="preserve">Published </w:t>
      </w:r>
      <w:r w:rsidR="00F91CE2" w:rsidRPr="00EB33FD">
        <w:rPr>
          <w:rFonts w:ascii="Arial" w:hAnsi="Arial" w:cs="Arial"/>
          <w:b/>
          <w:sz w:val="22"/>
          <w:szCs w:val="22"/>
          <w:u w:val="single"/>
        </w:rPr>
        <w:t xml:space="preserve">Finance and Takings </w:t>
      </w:r>
      <w:r w:rsidR="001B1F93" w:rsidRPr="00EB33FD">
        <w:rPr>
          <w:rFonts w:ascii="Arial" w:hAnsi="Arial" w:cs="Arial"/>
          <w:b/>
          <w:sz w:val="22"/>
          <w:szCs w:val="22"/>
          <w:u w:val="single"/>
        </w:rPr>
        <w:t>A</w:t>
      </w:r>
      <w:r w:rsidR="001064A7" w:rsidRPr="00EB33FD">
        <w:rPr>
          <w:rFonts w:ascii="Arial" w:hAnsi="Arial" w:cs="Arial"/>
          <w:b/>
          <w:sz w:val="22"/>
          <w:szCs w:val="22"/>
          <w:u w:val="single"/>
        </w:rPr>
        <w:t>rticles:</w:t>
      </w:r>
    </w:p>
    <w:p w:rsidR="0046238F" w:rsidRPr="0046238F" w:rsidRDefault="0046238F" w:rsidP="0046238F">
      <w:pPr>
        <w:pStyle w:val="ListParagraph"/>
        <w:numPr>
          <w:ilvl w:val="0"/>
          <w:numId w:val="4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46238F">
        <w:rPr>
          <w:rFonts w:ascii="Arial" w:hAnsi="Arial" w:cs="Arial"/>
          <w:sz w:val="22"/>
          <w:szCs w:val="22"/>
        </w:rPr>
        <w:t xml:space="preserve">“Liquid Gold or Water for Pecans: Valuation of Edwards Aquifer Water for the Braggs’ taken Orchards,” </w:t>
      </w:r>
      <w:r w:rsidRPr="0046238F">
        <w:rPr>
          <w:rFonts w:ascii="Arial" w:hAnsi="Arial" w:cs="Arial"/>
          <w:sz w:val="22"/>
          <w:szCs w:val="22"/>
          <w:u w:val="single"/>
        </w:rPr>
        <w:t>Environmental Law Reporter</w:t>
      </w:r>
      <w:r w:rsidRPr="0046238F">
        <w:rPr>
          <w:rFonts w:ascii="Arial" w:hAnsi="Arial" w:cs="Arial"/>
          <w:sz w:val="22"/>
          <w:szCs w:val="22"/>
        </w:rPr>
        <w:t xml:space="preserve"> 1, Forthcoming October 2015.</w:t>
      </w:r>
    </w:p>
    <w:p w:rsidR="0046238F" w:rsidRPr="0046238F" w:rsidRDefault="0046238F" w:rsidP="0046238F">
      <w:pPr>
        <w:pStyle w:val="ListParagraph"/>
        <w:numPr>
          <w:ilvl w:val="0"/>
          <w:numId w:val="4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46238F">
        <w:rPr>
          <w:rFonts w:ascii="Arial" w:hAnsi="Arial" w:cs="Arial"/>
          <w:sz w:val="22"/>
          <w:szCs w:val="22"/>
        </w:rPr>
        <w:t xml:space="preserve">“Theory and Abuse of Just Compensation in Income Producing Property in Federal Courts: A View from above the Forest,” Forthcoming </w:t>
      </w:r>
      <w:r w:rsidRPr="0046238F">
        <w:rPr>
          <w:rFonts w:ascii="Arial" w:hAnsi="Arial" w:cs="Arial"/>
          <w:sz w:val="22"/>
          <w:szCs w:val="22"/>
          <w:u w:val="single"/>
        </w:rPr>
        <w:t>Texas Environmental Law Review</w:t>
      </w:r>
      <w:r w:rsidR="00F07263">
        <w:rPr>
          <w:rFonts w:ascii="Arial" w:hAnsi="Arial" w:cs="Arial"/>
          <w:sz w:val="22"/>
          <w:szCs w:val="22"/>
          <w:u w:val="single"/>
        </w:rPr>
        <w:t>, 2016</w:t>
      </w:r>
      <w:r w:rsidRPr="0046238F">
        <w:rPr>
          <w:rFonts w:ascii="Arial" w:hAnsi="Arial" w:cs="Arial"/>
          <w:sz w:val="22"/>
          <w:szCs w:val="22"/>
        </w:rPr>
        <w:t>.</w:t>
      </w:r>
    </w:p>
    <w:p w:rsidR="00EB33FD" w:rsidRPr="00EB33FD" w:rsidRDefault="003B7BD6" w:rsidP="0046238F">
      <w:pPr>
        <w:pStyle w:val="ListParagraph"/>
        <w:numPr>
          <w:ilvl w:val="0"/>
          <w:numId w:val="44"/>
        </w:numPr>
        <w:spacing w:after="120"/>
        <w:contextualSpacing w:val="0"/>
        <w:rPr>
          <w:rFonts w:ascii="Arial" w:eastAsia="Calibri" w:hAnsi="Arial" w:cs="Arial"/>
          <w:sz w:val="22"/>
          <w:szCs w:val="22"/>
        </w:rPr>
      </w:pPr>
      <w:r w:rsidRPr="0046238F">
        <w:rPr>
          <w:rFonts w:ascii="Arial" w:hAnsi="Arial" w:cs="Arial"/>
          <w:sz w:val="22"/>
          <w:szCs w:val="22"/>
        </w:rPr>
        <w:t xml:space="preserve">“Misconstruing Size of Economic Impacts as the Determinant of Penn Central test Does Not Invoke Average Reciprocity of Advantage,” </w:t>
      </w:r>
      <w:r w:rsidR="00EB33FD" w:rsidRPr="0046238F">
        <w:rPr>
          <w:rFonts w:ascii="Arial" w:hAnsi="Arial" w:cs="Arial"/>
          <w:sz w:val="22"/>
          <w:szCs w:val="22"/>
        </w:rPr>
        <w:t>21 West Northwest Journal of Environmental Law &amp; Policy</w:t>
      </w:r>
      <w:r w:rsidR="00EB33FD" w:rsidRPr="00EB33FD">
        <w:rPr>
          <w:rFonts w:ascii="Arial" w:eastAsia="Calibri" w:hAnsi="Arial" w:cs="Arial"/>
          <w:sz w:val="22"/>
          <w:szCs w:val="22"/>
        </w:rPr>
        <w:t>,</w:t>
      </w:r>
      <w:r w:rsidR="001A1D0F">
        <w:rPr>
          <w:rFonts w:ascii="Arial" w:eastAsia="Calibri" w:hAnsi="Arial" w:cs="Arial"/>
          <w:sz w:val="22"/>
          <w:szCs w:val="22"/>
        </w:rPr>
        <w:t xml:space="preserve"> No.2, 197</w:t>
      </w:r>
      <w:r w:rsidR="00EB33FD" w:rsidRPr="00EB33FD">
        <w:rPr>
          <w:rFonts w:ascii="Arial" w:eastAsia="Calibri" w:hAnsi="Arial" w:cs="Arial"/>
          <w:sz w:val="22"/>
          <w:szCs w:val="22"/>
        </w:rPr>
        <w:t xml:space="preserve"> (summer 2015)</w:t>
      </w:r>
      <w:r w:rsidR="00337FEB">
        <w:rPr>
          <w:rFonts w:ascii="Arial" w:eastAsia="Calibri" w:hAnsi="Arial" w:cs="Arial"/>
          <w:sz w:val="22"/>
          <w:szCs w:val="22"/>
        </w:rPr>
        <w:t xml:space="preserve">. </w:t>
      </w:r>
    </w:p>
    <w:p w:rsidR="00736590" w:rsidRPr="00EB33FD" w:rsidRDefault="00EB33FD" w:rsidP="0046238F">
      <w:pPr>
        <w:pStyle w:val="ListParagraph"/>
        <w:numPr>
          <w:ilvl w:val="0"/>
          <w:numId w:val="44"/>
        </w:numPr>
        <w:spacing w:after="120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EB33FD">
        <w:rPr>
          <w:rFonts w:ascii="Arial" w:hAnsi="Arial" w:cs="Arial"/>
          <w:sz w:val="22"/>
          <w:szCs w:val="22"/>
        </w:rPr>
        <w:t xml:space="preserve"> </w:t>
      </w:r>
      <w:r w:rsidR="00736590" w:rsidRPr="00EB33FD">
        <w:rPr>
          <w:rFonts w:ascii="Arial" w:hAnsi="Arial" w:cs="Arial"/>
          <w:sz w:val="22"/>
          <w:szCs w:val="22"/>
        </w:rPr>
        <w:t xml:space="preserve">“Temporary Takings, Tahoe Sierra and </w:t>
      </w:r>
      <w:proofErr w:type="gramStart"/>
      <w:r w:rsidR="00736590" w:rsidRPr="00EB33FD">
        <w:rPr>
          <w:rFonts w:ascii="Arial" w:hAnsi="Arial" w:cs="Arial"/>
          <w:sz w:val="22"/>
          <w:szCs w:val="22"/>
        </w:rPr>
        <w:t>The</w:t>
      </w:r>
      <w:proofErr w:type="gramEnd"/>
      <w:r w:rsidR="00736590" w:rsidRPr="00EB33FD">
        <w:rPr>
          <w:rFonts w:ascii="Arial" w:hAnsi="Arial" w:cs="Arial"/>
          <w:sz w:val="22"/>
          <w:szCs w:val="22"/>
        </w:rPr>
        <w:t xml:space="preserve"> Denominator Problem,” 43 </w:t>
      </w:r>
      <w:r w:rsidR="009F2FC2" w:rsidRPr="00EB33FD">
        <w:rPr>
          <w:rFonts w:ascii="Arial" w:hAnsi="Arial" w:cs="Arial"/>
          <w:sz w:val="22"/>
          <w:szCs w:val="22"/>
          <w:u w:val="single"/>
        </w:rPr>
        <w:t>Environmental Law Reporter</w:t>
      </w:r>
      <w:r w:rsidR="009F2FC2" w:rsidRPr="00EB33FD">
        <w:rPr>
          <w:rFonts w:ascii="Arial" w:hAnsi="Arial" w:cs="Arial"/>
          <w:sz w:val="22"/>
          <w:szCs w:val="22"/>
        </w:rPr>
        <w:t xml:space="preserve"> </w:t>
      </w:r>
      <w:r w:rsidR="00736590" w:rsidRPr="00EB33FD">
        <w:rPr>
          <w:rFonts w:ascii="Arial" w:hAnsi="Arial" w:cs="Arial"/>
          <w:sz w:val="22"/>
          <w:szCs w:val="22"/>
        </w:rPr>
        <w:t>10189, February 2013.</w:t>
      </w:r>
    </w:p>
    <w:p w:rsidR="00817F86" w:rsidRPr="00EB33FD" w:rsidRDefault="00817F86" w:rsidP="0046238F">
      <w:pPr>
        <w:pStyle w:val="ListParagraph"/>
        <w:numPr>
          <w:ilvl w:val="0"/>
          <w:numId w:val="44"/>
        </w:numPr>
        <w:spacing w:after="120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EB33FD">
        <w:rPr>
          <w:rFonts w:ascii="Arial" w:hAnsi="Arial" w:cs="Arial"/>
          <w:sz w:val="22"/>
          <w:szCs w:val="22"/>
        </w:rPr>
        <w:t>“</w:t>
      </w:r>
      <w:r w:rsidR="00AE716A" w:rsidRPr="00EB33FD">
        <w:rPr>
          <w:rFonts w:ascii="Arial" w:hAnsi="Arial" w:cs="Arial"/>
          <w:color w:val="000000"/>
          <w:sz w:val="22"/>
          <w:szCs w:val="22"/>
        </w:rPr>
        <w:t>Sources of</w:t>
      </w:r>
      <w:r w:rsidRPr="00EB33FD">
        <w:rPr>
          <w:rFonts w:ascii="Arial" w:hAnsi="Arial" w:cs="Arial"/>
          <w:color w:val="000000"/>
          <w:sz w:val="22"/>
          <w:szCs w:val="22"/>
        </w:rPr>
        <w:t xml:space="preserve"> Regulatory Takings </w:t>
      </w:r>
      <w:r w:rsidR="00AE716A" w:rsidRPr="00EB33FD">
        <w:rPr>
          <w:rFonts w:ascii="Arial" w:hAnsi="Arial" w:cs="Arial"/>
          <w:color w:val="000000"/>
          <w:sz w:val="22"/>
          <w:szCs w:val="22"/>
        </w:rPr>
        <w:t xml:space="preserve">Economic </w:t>
      </w:r>
      <w:r w:rsidRPr="00EB33FD">
        <w:rPr>
          <w:rFonts w:ascii="Arial" w:hAnsi="Arial" w:cs="Arial"/>
          <w:color w:val="000000"/>
          <w:sz w:val="22"/>
          <w:szCs w:val="22"/>
        </w:rPr>
        <w:t xml:space="preserve">Confusion Subsequent to </w:t>
      </w:r>
      <w:r w:rsidRPr="00EB33FD">
        <w:rPr>
          <w:rFonts w:ascii="Arial" w:hAnsi="Arial" w:cs="Arial"/>
          <w:i/>
          <w:color w:val="000000"/>
          <w:sz w:val="22"/>
          <w:szCs w:val="22"/>
        </w:rPr>
        <w:t>Penn Central,</w:t>
      </w:r>
      <w:r w:rsidRPr="00EB33FD">
        <w:rPr>
          <w:rFonts w:ascii="Arial" w:hAnsi="Arial" w:cs="Arial"/>
          <w:sz w:val="22"/>
          <w:szCs w:val="22"/>
        </w:rPr>
        <w:t xml:space="preserve">" </w:t>
      </w:r>
      <w:r w:rsidR="00564C0A">
        <w:rPr>
          <w:rFonts w:ascii="Arial" w:hAnsi="Arial" w:cs="Arial"/>
          <w:sz w:val="22"/>
          <w:szCs w:val="22"/>
        </w:rPr>
        <w:t xml:space="preserve">          </w:t>
      </w:r>
      <w:r w:rsidR="00017EE4" w:rsidRPr="00EB33FD">
        <w:rPr>
          <w:rFonts w:ascii="Arial" w:hAnsi="Arial" w:cs="Arial"/>
          <w:color w:val="000000"/>
          <w:sz w:val="22"/>
          <w:szCs w:val="22"/>
        </w:rPr>
        <w:t xml:space="preserve">41 </w:t>
      </w:r>
      <w:r w:rsidR="00017EE4" w:rsidRPr="00EB33FD">
        <w:rPr>
          <w:rFonts w:ascii="Arial" w:hAnsi="Arial" w:cs="Arial"/>
          <w:sz w:val="22"/>
          <w:szCs w:val="22"/>
          <w:u w:val="single"/>
        </w:rPr>
        <w:t>Environmental Law Reporter</w:t>
      </w:r>
      <w:r w:rsidR="00017EE4" w:rsidRPr="00EB33FD">
        <w:rPr>
          <w:rFonts w:ascii="Arial" w:hAnsi="Arial" w:cs="Arial"/>
          <w:color w:val="000000"/>
          <w:sz w:val="22"/>
          <w:szCs w:val="22"/>
        </w:rPr>
        <w:t xml:space="preserve"> 10936</w:t>
      </w:r>
      <w:r w:rsidRPr="00EB33FD">
        <w:rPr>
          <w:rFonts w:ascii="Arial" w:hAnsi="Arial" w:cs="Arial"/>
          <w:color w:val="000000"/>
          <w:sz w:val="22"/>
          <w:szCs w:val="22"/>
        </w:rPr>
        <w:t>,</w:t>
      </w:r>
      <w:r w:rsidR="00AE716A" w:rsidRPr="00EB33FD">
        <w:rPr>
          <w:rFonts w:ascii="Arial" w:hAnsi="Arial" w:cs="Arial"/>
          <w:color w:val="000000"/>
          <w:sz w:val="22"/>
          <w:szCs w:val="22"/>
        </w:rPr>
        <w:t xml:space="preserve"> October</w:t>
      </w:r>
      <w:r w:rsidRPr="00EB33FD">
        <w:rPr>
          <w:rFonts w:ascii="Arial" w:hAnsi="Arial" w:cs="Arial"/>
          <w:color w:val="000000"/>
          <w:sz w:val="22"/>
          <w:szCs w:val="22"/>
        </w:rPr>
        <w:t xml:space="preserve"> 2011.</w:t>
      </w:r>
    </w:p>
    <w:p w:rsidR="006812B6" w:rsidRPr="0046238F" w:rsidRDefault="006812B6" w:rsidP="0046238F">
      <w:pPr>
        <w:pStyle w:val="ListParagraph"/>
        <w:numPr>
          <w:ilvl w:val="0"/>
          <w:numId w:val="44"/>
        </w:numPr>
        <w:spacing w:after="120"/>
        <w:rPr>
          <w:rFonts w:ascii="Arial" w:hAnsi="Arial" w:cs="Arial"/>
          <w:sz w:val="22"/>
          <w:szCs w:val="22"/>
        </w:rPr>
      </w:pPr>
      <w:r w:rsidRPr="0046238F">
        <w:rPr>
          <w:rFonts w:ascii="Arial" w:hAnsi="Arial" w:cs="Arial"/>
          <w:sz w:val="22"/>
          <w:szCs w:val="22"/>
        </w:rPr>
        <w:t>“Federal Circuit’s Economic Failings Undo the Penn Central Test,”</w:t>
      </w:r>
      <w:r w:rsidR="009E0639" w:rsidRPr="0046238F">
        <w:rPr>
          <w:rFonts w:ascii="Arial" w:hAnsi="Arial" w:cs="Arial"/>
          <w:sz w:val="22"/>
          <w:szCs w:val="22"/>
        </w:rPr>
        <w:t xml:space="preserve"> </w:t>
      </w:r>
      <w:r w:rsidR="008F1182" w:rsidRPr="0046238F">
        <w:rPr>
          <w:rFonts w:ascii="Arial" w:hAnsi="Arial" w:cs="Arial"/>
          <w:sz w:val="22"/>
          <w:szCs w:val="22"/>
        </w:rPr>
        <w:t>40</w:t>
      </w:r>
      <w:r w:rsidRPr="0046238F">
        <w:rPr>
          <w:rFonts w:ascii="Arial" w:hAnsi="Arial" w:cs="Arial"/>
          <w:sz w:val="22"/>
          <w:szCs w:val="22"/>
        </w:rPr>
        <w:t xml:space="preserve"> </w:t>
      </w:r>
      <w:r w:rsidRPr="0046238F">
        <w:rPr>
          <w:rFonts w:ascii="Arial" w:hAnsi="Arial" w:cs="Arial"/>
          <w:sz w:val="22"/>
          <w:szCs w:val="22"/>
          <w:u w:val="single"/>
        </w:rPr>
        <w:t>Environmental Law Reporter</w:t>
      </w:r>
      <w:r w:rsidR="008F1182" w:rsidRPr="0046238F">
        <w:rPr>
          <w:rFonts w:ascii="Arial" w:hAnsi="Arial" w:cs="Arial"/>
          <w:sz w:val="22"/>
          <w:szCs w:val="22"/>
        </w:rPr>
        <w:t xml:space="preserve"> 10914,</w:t>
      </w:r>
      <w:r w:rsidRPr="0046238F">
        <w:rPr>
          <w:rFonts w:ascii="Arial" w:hAnsi="Arial" w:cs="Arial"/>
          <w:sz w:val="22"/>
          <w:szCs w:val="22"/>
        </w:rPr>
        <w:t xml:space="preserve"> September 2010.</w:t>
      </w:r>
      <w:r w:rsidR="00C07FEF" w:rsidRPr="0046238F">
        <w:rPr>
          <w:rFonts w:ascii="Arial" w:hAnsi="Arial" w:cs="Arial"/>
          <w:sz w:val="22"/>
          <w:szCs w:val="22"/>
        </w:rPr>
        <w:t xml:space="preserve"> </w:t>
      </w:r>
    </w:p>
    <w:p w:rsidR="004B7BB6" w:rsidRPr="0046238F" w:rsidRDefault="00C07FEF" w:rsidP="0046238F">
      <w:pPr>
        <w:pStyle w:val="ListParagraph"/>
        <w:numPr>
          <w:ilvl w:val="0"/>
          <w:numId w:val="44"/>
        </w:numPr>
        <w:spacing w:after="120"/>
        <w:rPr>
          <w:rFonts w:ascii="Arial" w:hAnsi="Arial" w:cs="Arial"/>
          <w:sz w:val="22"/>
          <w:szCs w:val="22"/>
        </w:rPr>
      </w:pPr>
      <w:r w:rsidRPr="0046238F">
        <w:rPr>
          <w:rFonts w:ascii="Arial" w:hAnsi="Arial" w:cs="Arial"/>
          <w:sz w:val="22"/>
          <w:szCs w:val="22"/>
        </w:rPr>
        <w:t>“Penn Central’s Ad Hocery Yields Inconsistent Takings Decisions</w:t>
      </w:r>
      <w:r w:rsidR="001F0834" w:rsidRPr="0046238F">
        <w:rPr>
          <w:rFonts w:ascii="Arial" w:hAnsi="Arial" w:cs="Arial"/>
          <w:sz w:val="22"/>
          <w:szCs w:val="22"/>
        </w:rPr>
        <w:t>,”</w:t>
      </w:r>
      <w:r w:rsidRPr="0046238F">
        <w:rPr>
          <w:rFonts w:ascii="Arial" w:hAnsi="Arial" w:cs="Arial"/>
          <w:sz w:val="22"/>
          <w:szCs w:val="22"/>
        </w:rPr>
        <w:t xml:space="preserve"> </w:t>
      </w:r>
      <w:r w:rsidR="00484275" w:rsidRPr="0046238F">
        <w:rPr>
          <w:rFonts w:ascii="Arial" w:hAnsi="Arial" w:cs="Arial"/>
          <w:sz w:val="22"/>
          <w:szCs w:val="22"/>
        </w:rPr>
        <w:t xml:space="preserve">42 </w:t>
      </w:r>
      <w:r w:rsidRPr="0046238F">
        <w:rPr>
          <w:rFonts w:ascii="Arial" w:hAnsi="Arial" w:cs="Arial"/>
          <w:sz w:val="22"/>
          <w:szCs w:val="22"/>
          <w:u w:val="single"/>
        </w:rPr>
        <w:t>The Urban Lawyer</w:t>
      </w:r>
      <w:r w:rsidR="001F0834" w:rsidRPr="0046238F">
        <w:rPr>
          <w:rFonts w:ascii="Arial" w:hAnsi="Arial" w:cs="Arial"/>
          <w:sz w:val="22"/>
          <w:szCs w:val="22"/>
        </w:rPr>
        <w:t xml:space="preserve"> 549</w:t>
      </w:r>
      <w:r w:rsidRPr="0046238F">
        <w:rPr>
          <w:rFonts w:ascii="Arial" w:hAnsi="Arial" w:cs="Arial"/>
          <w:sz w:val="22"/>
          <w:szCs w:val="22"/>
        </w:rPr>
        <w:t xml:space="preserve">, </w:t>
      </w:r>
      <w:r w:rsidR="002873CC" w:rsidRPr="0046238F">
        <w:rPr>
          <w:rFonts w:ascii="Arial" w:hAnsi="Arial" w:cs="Arial"/>
          <w:sz w:val="22"/>
          <w:szCs w:val="22"/>
        </w:rPr>
        <w:t>summer</w:t>
      </w:r>
      <w:r w:rsidRPr="0046238F">
        <w:rPr>
          <w:rFonts w:ascii="Arial" w:hAnsi="Arial" w:cs="Arial"/>
          <w:sz w:val="22"/>
          <w:szCs w:val="22"/>
        </w:rPr>
        <w:t>, 2010.</w:t>
      </w:r>
      <w:r w:rsidR="00C828D9" w:rsidRPr="0046238F">
        <w:rPr>
          <w:rFonts w:ascii="Arial" w:hAnsi="Arial" w:cs="Arial"/>
          <w:sz w:val="22"/>
          <w:szCs w:val="22"/>
        </w:rPr>
        <w:t xml:space="preserve">  </w:t>
      </w:r>
    </w:p>
    <w:p w:rsidR="00C07FEF" w:rsidRPr="00EB33FD" w:rsidRDefault="00C828D9" w:rsidP="0046238F">
      <w:pPr>
        <w:numPr>
          <w:ilvl w:val="0"/>
          <w:numId w:val="44"/>
        </w:numPr>
        <w:spacing w:after="12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Republished in </w:t>
      </w:r>
      <w:r w:rsidRPr="00EB33FD">
        <w:rPr>
          <w:rFonts w:ascii="Arial" w:hAnsi="Arial" w:cs="Arial"/>
          <w:sz w:val="22"/>
          <w:szCs w:val="22"/>
          <w:u w:val="single"/>
        </w:rPr>
        <w:t>2011 Zoning and Planning Law</w:t>
      </w:r>
      <w:r w:rsidR="00F874B1" w:rsidRPr="00EB33FD">
        <w:rPr>
          <w:rFonts w:ascii="Arial" w:hAnsi="Arial" w:cs="Arial"/>
          <w:sz w:val="22"/>
          <w:szCs w:val="22"/>
          <w:u w:val="single"/>
        </w:rPr>
        <w:t xml:space="preserve"> </w:t>
      </w:r>
      <w:r w:rsidRPr="00EB33FD">
        <w:rPr>
          <w:rFonts w:ascii="Arial" w:hAnsi="Arial" w:cs="Arial"/>
          <w:sz w:val="22"/>
          <w:szCs w:val="22"/>
          <w:u w:val="single"/>
        </w:rPr>
        <w:t>Handbook</w:t>
      </w:r>
      <w:r w:rsidRPr="00EB33FD">
        <w:rPr>
          <w:rFonts w:ascii="Arial" w:hAnsi="Arial" w:cs="Arial"/>
          <w:sz w:val="22"/>
          <w:szCs w:val="22"/>
        </w:rPr>
        <w:t>, Patricia</w:t>
      </w:r>
      <w:r w:rsidR="00F874B1" w:rsidRPr="00EB33FD">
        <w:rPr>
          <w:rFonts w:ascii="Arial" w:hAnsi="Arial" w:cs="Arial"/>
          <w:sz w:val="22"/>
          <w:szCs w:val="22"/>
        </w:rPr>
        <w:t xml:space="preserve"> E. Salkin, </w:t>
      </w:r>
      <w:proofErr w:type="gramStart"/>
      <w:r w:rsidR="00F874B1" w:rsidRPr="00EB33FD">
        <w:rPr>
          <w:rFonts w:ascii="Arial" w:hAnsi="Arial" w:cs="Arial"/>
          <w:sz w:val="22"/>
          <w:szCs w:val="22"/>
        </w:rPr>
        <w:t>ed</w:t>
      </w:r>
      <w:proofErr w:type="gramEnd"/>
      <w:r w:rsidR="00F874B1" w:rsidRPr="00EB33FD">
        <w:rPr>
          <w:rFonts w:ascii="Arial" w:hAnsi="Arial" w:cs="Arial"/>
          <w:sz w:val="22"/>
          <w:szCs w:val="22"/>
        </w:rPr>
        <w:t xml:space="preserve">. </w:t>
      </w:r>
    </w:p>
    <w:p w:rsidR="002926BB" w:rsidRPr="0046238F" w:rsidRDefault="00E61F04" w:rsidP="0046238F">
      <w:pPr>
        <w:pStyle w:val="ListParagraph"/>
        <w:numPr>
          <w:ilvl w:val="0"/>
          <w:numId w:val="44"/>
        </w:numPr>
        <w:spacing w:after="120"/>
        <w:rPr>
          <w:rFonts w:ascii="Arial" w:hAnsi="Arial" w:cs="Arial"/>
          <w:sz w:val="22"/>
          <w:szCs w:val="22"/>
        </w:rPr>
      </w:pPr>
      <w:r w:rsidRPr="0046238F">
        <w:rPr>
          <w:rFonts w:ascii="Arial" w:hAnsi="Arial" w:cs="Arial"/>
          <w:sz w:val="22"/>
          <w:szCs w:val="22"/>
        </w:rPr>
        <w:t xml:space="preserve">“Temporal Posture &amp; Discount Rates for Groundwater Contamination Damages,” </w:t>
      </w:r>
      <w:r w:rsidR="008D608D" w:rsidRPr="0046238F">
        <w:rPr>
          <w:rFonts w:ascii="Arial" w:hAnsi="Arial" w:cs="Arial"/>
          <w:sz w:val="22"/>
          <w:szCs w:val="22"/>
        </w:rPr>
        <w:t xml:space="preserve">40 </w:t>
      </w:r>
      <w:r w:rsidR="001B1F93" w:rsidRPr="0046238F">
        <w:rPr>
          <w:rFonts w:ascii="Arial" w:hAnsi="Arial" w:cs="Arial"/>
          <w:sz w:val="22"/>
          <w:szCs w:val="22"/>
          <w:u w:val="single"/>
        </w:rPr>
        <w:t>Environmental Law Reporter</w:t>
      </w:r>
      <w:r w:rsidR="008D608D" w:rsidRPr="0046238F">
        <w:rPr>
          <w:rFonts w:ascii="Arial" w:hAnsi="Arial" w:cs="Arial"/>
          <w:sz w:val="22"/>
          <w:szCs w:val="22"/>
        </w:rPr>
        <w:t xml:space="preserve"> 10262</w:t>
      </w:r>
      <w:r w:rsidRPr="0046238F">
        <w:rPr>
          <w:rFonts w:ascii="Arial" w:hAnsi="Arial" w:cs="Arial"/>
          <w:sz w:val="22"/>
          <w:szCs w:val="22"/>
        </w:rPr>
        <w:t>, March 2010.</w:t>
      </w:r>
    </w:p>
    <w:p w:rsidR="002926BB" w:rsidRPr="0046238F" w:rsidRDefault="002926BB" w:rsidP="0046238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20"/>
        <w:ind w:right="-360"/>
        <w:rPr>
          <w:rFonts w:ascii="Arial" w:hAnsi="Arial" w:cs="Arial"/>
          <w:sz w:val="22"/>
          <w:szCs w:val="22"/>
        </w:rPr>
      </w:pPr>
      <w:r w:rsidRPr="0046238F">
        <w:rPr>
          <w:rFonts w:ascii="Arial" w:hAnsi="Arial" w:cs="Arial"/>
          <w:sz w:val="22"/>
          <w:szCs w:val="22"/>
        </w:rPr>
        <w:lastRenderedPageBreak/>
        <w:t>“Confusion about “Change in Value” and “Return on Equity” Approaches To Penn Central Test in Temporary Takings</w:t>
      </w:r>
      <w:r w:rsidR="00AD69EA" w:rsidRPr="0046238F">
        <w:rPr>
          <w:rFonts w:ascii="Arial" w:hAnsi="Arial" w:cs="Arial"/>
          <w:i/>
          <w:sz w:val="22"/>
          <w:szCs w:val="22"/>
        </w:rPr>
        <w:t>,</w:t>
      </w:r>
      <w:r w:rsidRPr="0046238F">
        <w:rPr>
          <w:rFonts w:ascii="Arial" w:hAnsi="Arial" w:cs="Arial"/>
          <w:i/>
          <w:sz w:val="22"/>
          <w:szCs w:val="22"/>
        </w:rPr>
        <w:t>”</w:t>
      </w:r>
      <w:r w:rsidR="00AD69EA" w:rsidRPr="0046238F">
        <w:rPr>
          <w:rFonts w:ascii="Arial" w:hAnsi="Arial" w:cs="Arial"/>
          <w:i/>
          <w:sz w:val="22"/>
          <w:szCs w:val="22"/>
        </w:rPr>
        <w:t xml:space="preserve"> </w:t>
      </w:r>
      <w:r w:rsidR="00050A46" w:rsidRPr="0046238F">
        <w:rPr>
          <w:rFonts w:ascii="Arial" w:hAnsi="Arial" w:cs="Arial"/>
          <w:sz w:val="22"/>
          <w:szCs w:val="22"/>
        </w:rPr>
        <w:t>38</w:t>
      </w:r>
      <w:r w:rsidR="00AD69EA" w:rsidRPr="0046238F">
        <w:rPr>
          <w:rFonts w:ascii="Arial" w:hAnsi="Arial" w:cs="Arial"/>
          <w:sz w:val="22"/>
          <w:szCs w:val="22"/>
        </w:rPr>
        <w:t xml:space="preserve"> </w:t>
      </w:r>
      <w:r w:rsidR="00AD69EA" w:rsidRPr="0046238F">
        <w:rPr>
          <w:rFonts w:ascii="Arial" w:hAnsi="Arial" w:cs="Arial"/>
          <w:sz w:val="22"/>
          <w:szCs w:val="22"/>
          <w:u w:val="single"/>
        </w:rPr>
        <w:t>Environmental Law Reporter</w:t>
      </w:r>
      <w:r w:rsidR="00AD69EA" w:rsidRPr="0046238F">
        <w:rPr>
          <w:rFonts w:ascii="Arial" w:hAnsi="Arial" w:cs="Arial"/>
          <w:sz w:val="22"/>
          <w:szCs w:val="22"/>
        </w:rPr>
        <w:t xml:space="preserve"> </w:t>
      </w:r>
      <w:r w:rsidR="00050A46" w:rsidRPr="0046238F">
        <w:rPr>
          <w:rFonts w:ascii="Arial" w:hAnsi="Arial" w:cs="Arial"/>
          <w:sz w:val="22"/>
          <w:szCs w:val="22"/>
        </w:rPr>
        <w:t xml:space="preserve">10486, </w:t>
      </w:r>
      <w:r w:rsidR="00AD69EA" w:rsidRPr="0046238F">
        <w:rPr>
          <w:rFonts w:ascii="Arial" w:hAnsi="Arial" w:cs="Arial"/>
          <w:sz w:val="22"/>
          <w:szCs w:val="22"/>
        </w:rPr>
        <w:t>July</w:t>
      </w:r>
      <w:r w:rsidRPr="0046238F">
        <w:rPr>
          <w:rFonts w:ascii="Arial" w:hAnsi="Arial" w:cs="Arial"/>
          <w:sz w:val="22"/>
          <w:szCs w:val="22"/>
        </w:rPr>
        <w:t xml:space="preserve"> </w:t>
      </w:r>
      <w:r w:rsidR="00F874B1" w:rsidRPr="0046238F">
        <w:rPr>
          <w:rFonts w:ascii="Arial" w:hAnsi="Arial" w:cs="Arial"/>
          <w:sz w:val="22"/>
          <w:szCs w:val="22"/>
        </w:rPr>
        <w:t>20</w:t>
      </w:r>
      <w:r w:rsidRPr="0046238F">
        <w:rPr>
          <w:rFonts w:ascii="Arial" w:hAnsi="Arial" w:cs="Arial"/>
          <w:sz w:val="22"/>
          <w:szCs w:val="22"/>
        </w:rPr>
        <w:t>08.</w:t>
      </w:r>
    </w:p>
    <w:p w:rsidR="00817F86" w:rsidRPr="00EB33FD" w:rsidRDefault="00266E0B" w:rsidP="0046238F">
      <w:pPr>
        <w:pStyle w:val="FootnoteText"/>
        <w:numPr>
          <w:ilvl w:val="0"/>
          <w:numId w:val="44"/>
        </w:numPr>
        <w:spacing w:after="12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“Average Reciprocity of Advantage: ‘Magic Words or Economic Reality: Lessons from Palazzolo," </w:t>
      </w:r>
      <w:r w:rsidR="009506CD" w:rsidRPr="00EB33FD">
        <w:rPr>
          <w:rFonts w:ascii="Arial" w:hAnsi="Arial" w:cs="Arial"/>
          <w:sz w:val="22"/>
          <w:szCs w:val="22"/>
        </w:rPr>
        <w:t>3</w:t>
      </w:r>
      <w:r w:rsidRPr="00EB33FD">
        <w:rPr>
          <w:rFonts w:ascii="Arial" w:hAnsi="Arial" w:cs="Arial"/>
          <w:sz w:val="22"/>
          <w:szCs w:val="22"/>
        </w:rPr>
        <w:t>9</w:t>
      </w:r>
      <w:r w:rsidR="009506CD" w:rsidRPr="00EB33FD">
        <w:rPr>
          <w:rFonts w:ascii="Arial" w:hAnsi="Arial" w:cs="Arial"/>
          <w:sz w:val="22"/>
          <w:szCs w:val="22"/>
        </w:rPr>
        <w:t xml:space="preserve"> </w:t>
      </w:r>
      <w:r w:rsidR="00C764F4" w:rsidRPr="00EB33FD">
        <w:rPr>
          <w:rFonts w:ascii="Arial" w:hAnsi="Arial" w:cs="Arial"/>
          <w:sz w:val="22"/>
          <w:szCs w:val="22"/>
          <w:u w:val="single"/>
        </w:rPr>
        <w:t>The Urban Lawyer</w:t>
      </w:r>
      <w:r w:rsidR="009506CD" w:rsidRPr="00EB33FD">
        <w:rPr>
          <w:rFonts w:ascii="Arial" w:hAnsi="Arial" w:cs="Arial"/>
          <w:sz w:val="22"/>
          <w:szCs w:val="22"/>
        </w:rPr>
        <w:t xml:space="preserve"> </w:t>
      </w:r>
      <w:r w:rsidR="003939F5" w:rsidRPr="00EB33FD">
        <w:rPr>
          <w:rFonts w:ascii="Arial" w:hAnsi="Arial" w:cs="Arial"/>
          <w:sz w:val="22"/>
          <w:szCs w:val="22"/>
        </w:rPr>
        <w:t>319</w:t>
      </w:r>
      <w:r w:rsidR="00C764F4" w:rsidRPr="00EB33FD">
        <w:rPr>
          <w:rFonts w:ascii="Arial" w:hAnsi="Arial" w:cs="Arial"/>
          <w:sz w:val="22"/>
          <w:szCs w:val="22"/>
        </w:rPr>
        <w:t>, spring, 200</w:t>
      </w:r>
      <w:r w:rsidRPr="00EB33FD">
        <w:rPr>
          <w:rFonts w:ascii="Arial" w:hAnsi="Arial" w:cs="Arial"/>
          <w:sz w:val="22"/>
          <w:szCs w:val="22"/>
        </w:rPr>
        <w:t>7</w:t>
      </w:r>
      <w:r w:rsidR="00B47206" w:rsidRPr="00EB33FD">
        <w:rPr>
          <w:rFonts w:ascii="Arial" w:hAnsi="Arial" w:cs="Arial"/>
          <w:sz w:val="22"/>
          <w:szCs w:val="22"/>
        </w:rPr>
        <w:t>.</w:t>
      </w:r>
      <w:r w:rsidR="00EE5A58" w:rsidRPr="00EB33FD">
        <w:rPr>
          <w:rFonts w:ascii="Arial" w:hAnsi="Arial" w:cs="Arial"/>
          <w:sz w:val="22"/>
          <w:szCs w:val="22"/>
        </w:rPr>
        <w:t xml:space="preserve"> </w:t>
      </w:r>
    </w:p>
    <w:p w:rsidR="00817F86" w:rsidRPr="00EB33FD" w:rsidRDefault="00266E0B" w:rsidP="0046238F">
      <w:pPr>
        <w:pStyle w:val="FootnoteText"/>
        <w:numPr>
          <w:ilvl w:val="0"/>
          <w:numId w:val="44"/>
        </w:numPr>
        <w:spacing w:after="12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“’Sophistical and Abstruse Formulas’ Made Simple: Advances in Measurement of </w:t>
      </w:r>
      <w:r w:rsidRPr="00EB33FD">
        <w:rPr>
          <w:rFonts w:ascii="Arial" w:hAnsi="Arial" w:cs="Arial"/>
          <w:i/>
          <w:sz w:val="22"/>
          <w:szCs w:val="22"/>
        </w:rPr>
        <w:t>Penn Central’s</w:t>
      </w:r>
      <w:r w:rsidRPr="00EB33FD">
        <w:rPr>
          <w:rFonts w:ascii="Arial" w:hAnsi="Arial" w:cs="Arial"/>
          <w:sz w:val="22"/>
          <w:szCs w:val="22"/>
        </w:rPr>
        <w:t xml:space="preserve"> Economic Prongs and Estimation of Economic Damages in Federal Claims </w:t>
      </w:r>
      <w:r w:rsidR="009E0BE6" w:rsidRPr="00EB33FD">
        <w:rPr>
          <w:rFonts w:ascii="Arial" w:hAnsi="Arial" w:cs="Arial"/>
          <w:sz w:val="22"/>
          <w:szCs w:val="22"/>
        </w:rPr>
        <w:t xml:space="preserve">and Circuit Courts,” </w:t>
      </w:r>
      <w:r w:rsidRPr="00EB33FD">
        <w:rPr>
          <w:rFonts w:ascii="Arial" w:hAnsi="Arial" w:cs="Arial"/>
          <w:sz w:val="22"/>
          <w:szCs w:val="22"/>
        </w:rPr>
        <w:t xml:space="preserve">38 </w:t>
      </w:r>
      <w:r w:rsidRPr="00EB33FD">
        <w:rPr>
          <w:rFonts w:ascii="Arial" w:hAnsi="Arial" w:cs="Arial"/>
          <w:sz w:val="22"/>
          <w:szCs w:val="22"/>
          <w:u w:val="single"/>
        </w:rPr>
        <w:t>The Urban Lawyer</w:t>
      </w:r>
      <w:r w:rsidRPr="00EB33FD">
        <w:rPr>
          <w:rFonts w:ascii="Arial" w:hAnsi="Arial" w:cs="Arial"/>
          <w:sz w:val="22"/>
          <w:szCs w:val="22"/>
        </w:rPr>
        <w:t xml:space="preserve"> 337 spring</w:t>
      </w:r>
      <w:r w:rsidRPr="00EB33FD">
        <w:rPr>
          <w:rFonts w:ascii="Arial" w:hAnsi="Arial" w:cs="Arial"/>
          <w:b/>
          <w:sz w:val="22"/>
          <w:szCs w:val="22"/>
        </w:rPr>
        <w:t xml:space="preserve"> </w:t>
      </w:r>
      <w:r w:rsidRPr="00EB33FD">
        <w:rPr>
          <w:rFonts w:ascii="Arial" w:hAnsi="Arial" w:cs="Arial"/>
          <w:sz w:val="22"/>
          <w:szCs w:val="22"/>
        </w:rPr>
        <w:t>2006.</w:t>
      </w:r>
    </w:p>
    <w:p w:rsidR="00817F86" w:rsidRPr="00EB33FD" w:rsidRDefault="001064A7" w:rsidP="0046238F">
      <w:pPr>
        <w:pStyle w:val="FootnoteText"/>
        <w:numPr>
          <w:ilvl w:val="0"/>
          <w:numId w:val="44"/>
        </w:numPr>
        <w:spacing w:after="12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"Economic Backbone of the </w:t>
      </w:r>
      <w:r w:rsidRPr="00EB33FD">
        <w:rPr>
          <w:rFonts w:ascii="Arial" w:hAnsi="Arial" w:cs="Arial"/>
          <w:i/>
          <w:sz w:val="22"/>
          <w:szCs w:val="22"/>
        </w:rPr>
        <w:t>Penn Central test</w:t>
      </w:r>
      <w:r w:rsidRPr="00EB33FD">
        <w:rPr>
          <w:rFonts w:ascii="Arial" w:hAnsi="Arial" w:cs="Arial"/>
          <w:sz w:val="22"/>
          <w:szCs w:val="22"/>
        </w:rPr>
        <w:t xml:space="preserve"> post </w:t>
      </w:r>
      <w:r w:rsidRPr="00EB33FD">
        <w:rPr>
          <w:rFonts w:ascii="Arial" w:hAnsi="Arial" w:cs="Arial"/>
          <w:i/>
          <w:sz w:val="22"/>
          <w:szCs w:val="22"/>
        </w:rPr>
        <w:t>Florida Rock</w:t>
      </w:r>
      <w:r w:rsidRPr="00EB33FD">
        <w:rPr>
          <w:rFonts w:ascii="Arial" w:hAnsi="Arial" w:cs="Arial"/>
          <w:sz w:val="22"/>
          <w:szCs w:val="22"/>
        </w:rPr>
        <w:t xml:space="preserve"> </w:t>
      </w:r>
      <w:r w:rsidRPr="00EB33FD">
        <w:rPr>
          <w:rFonts w:ascii="Arial" w:hAnsi="Arial" w:cs="Arial"/>
          <w:i/>
          <w:sz w:val="22"/>
          <w:szCs w:val="22"/>
        </w:rPr>
        <w:t>V</w:t>
      </w:r>
      <w:r w:rsidRPr="00EB33FD">
        <w:rPr>
          <w:rFonts w:ascii="Arial" w:hAnsi="Arial" w:cs="Arial"/>
          <w:sz w:val="22"/>
          <w:szCs w:val="22"/>
        </w:rPr>
        <w:t xml:space="preserve">, </w:t>
      </w:r>
      <w:r w:rsidRPr="00EB33FD">
        <w:rPr>
          <w:rFonts w:ascii="Arial" w:hAnsi="Arial" w:cs="Arial"/>
          <w:i/>
          <w:sz w:val="22"/>
          <w:szCs w:val="22"/>
        </w:rPr>
        <w:t>K&amp;K</w:t>
      </w:r>
      <w:r w:rsidRPr="00EB33FD">
        <w:rPr>
          <w:rFonts w:ascii="Arial" w:hAnsi="Arial" w:cs="Arial"/>
          <w:sz w:val="22"/>
          <w:szCs w:val="22"/>
        </w:rPr>
        <w:t xml:space="preserve"> and </w:t>
      </w:r>
      <w:r w:rsidRPr="00EB33FD">
        <w:rPr>
          <w:rFonts w:ascii="Arial" w:hAnsi="Arial" w:cs="Arial"/>
          <w:i/>
          <w:sz w:val="22"/>
          <w:szCs w:val="22"/>
        </w:rPr>
        <w:t>Palazzolo</w:t>
      </w:r>
      <w:r w:rsidRPr="00EB33FD">
        <w:rPr>
          <w:rFonts w:ascii="Arial" w:hAnsi="Arial" w:cs="Arial"/>
          <w:sz w:val="22"/>
          <w:szCs w:val="22"/>
        </w:rPr>
        <w:t xml:space="preserve">," 32 </w:t>
      </w:r>
      <w:r w:rsidRPr="00EB33FD">
        <w:rPr>
          <w:rFonts w:ascii="Arial" w:hAnsi="Arial" w:cs="Arial"/>
          <w:sz w:val="22"/>
          <w:szCs w:val="22"/>
          <w:u w:val="single"/>
        </w:rPr>
        <w:t xml:space="preserve">Environmental Law Reporter </w:t>
      </w:r>
      <w:r w:rsidRPr="00EB33FD">
        <w:rPr>
          <w:rFonts w:ascii="Arial" w:hAnsi="Arial" w:cs="Arial"/>
          <w:sz w:val="22"/>
          <w:szCs w:val="22"/>
        </w:rPr>
        <w:t>11,221 (October, 2002).</w:t>
      </w:r>
    </w:p>
    <w:p w:rsidR="001064A7" w:rsidRPr="00EB33FD" w:rsidRDefault="001064A7" w:rsidP="0046238F">
      <w:pPr>
        <w:pStyle w:val="FootnoteText"/>
        <w:numPr>
          <w:ilvl w:val="0"/>
          <w:numId w:val="44"/>
        </w:numPr>
        <w:spacing w:after="12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“Penn Central’s Economic Failings Confounded Takings Jurisprudence,” 31 </w:t>
      </w:r>
      <w:r w:rsidRPr="00EB33FD">
        <w:rPr>
          <w:rFonts w:ascii="Arial" w:hAnsi="Arial" w:cs="Arial"/>
          <w:sz w:val="22"/>
          <w:szCs w:val="22"/>
          <w:u w:val="single"/>
        </w:rPr>
        <w:t>The Urban Lawyer</w:t>
      </w:r>
      <w:r w:rsidRPr="00EB33FD">
        <w:rPr>
          <w:rFonts w:ascii="Arial" w:hAnsi="Arial" w:cs="Arial"/>
          <w:sz w:val="22"/>
          <w:szCs w:val="22"/>
        </w:rPr>
        <w:t xml:space="preserve"> 2, 277</w:t>
      </w:r>
      <w:r w:rsidR="00B47206" w:rsidRPr="00EB33FD">
        <w:rPr>
          <w:rFonts w:ascii="Arial" w:hAnsi="Arial" w:cs="Arial"/>
          <w:sz w:val="22"/>
          <w:szCs w:val="22"/>
        </w:rPr>
        <w:t xml:space="preserve"> </w:t>
      </w:r>
      <w:r w:rsidRPr="00EB33FD">
        <w:rPr>
          <w:rFonts w:ascii="Arial" w:hAnsi="Arial" w:cs="Arial"/>
          <w:sz w:val="22"/>
          <w:szCs w:val="22"/>
        </w:rPr>
        <w:t>-</w:t>
      </w:r>
      <w:r w:rsidR="00B47206" w:rsidRPr="00EB33FD">
        <w:rPr>
          <w:rFonts w:ascii="Arial" w:hAnsi="Arial" w:cs="Arial"/>
          <w:sz w:val="22"/>
          <w:szCs w:val="22"/>
        </w:rPr>
        <w:t xml:space="preserve"> </w:t>
      </w:r>
      <w:r w:rsidRPr="00EB33FD">
        <w:rPr>
          <w:rFonts w:ascii="Arial" w:hAnsi="Arial" w:cs="Arial"/>
          <w:sz w:val="22"/>
          <w:szCs w:val="22"/>
        </w:rPr>
        <w:t xml:space="preserve">308, spring, 1999. </w:t>
      </w:r>
    </w:p>
    <w:p w:rsidR="001064A7" w:rsidRPr="0046238F" w:rsidRDefault="001064A7" w:rsidP="00040184">
      <w:pPr>
        <w:pStyle w:val="FootnoteText"/>
        <w:numPr>
          <w:ilvl w:val="0"/>
          <w:numId w:val="44"/>
        </w:numPr>
        <w:spacing w:after="120"/>
        <w:rPr>
          <w:rFonts w:ascii="Arial" w:hAnsi="Arial" w:cs="Arial"/>
          <w:sz w:val="22"/>
          <w:szCs w:val="22"/>
        </w:rPr>
      </w:pPr>
      <w:r w:rsidRPr="0046238F">
        <w:rPr>
          <w:rFonts w:ascii="Arial" w:hAnsi="Arial" w:cs="Arial"/>
          <w:sz w:val="22"/>
          <w:szCs w:val="22"/>
        </w:rPr>
        <w:t>“Economic Impacts,</w:t>
      </w:r>
      <w:r w:rsidR="001A0214" w:rsidRPr="0046238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238F">
        <w:rPr>
          <w:rFonts w:ascii="Arial" w:hAnsi="Arial" w:cs="Arial"/>
          <w:sz w:val="22"/>
          <w:szCs w:val="22"/>
        </w:rPr>
        <w:t>The</w:t>
      </w:r>
      <w:proofErr w:type="gramEnd"/>
      <w:r w:rsidRPr="0046238F">
        <w:rPr>
          <w:rFonts w:ascii="Arial" w:hAnsi="Arial" w:cs="Arial"/>
          <w:sz w:val="22"/>
          <w:szCs w:val="22"/>
        </w:rPr>
        <w:t xml:space="preserve"> Bennett Decision, and Investment-Backed Expectations,” </w:t>
      </w:r>
      <w:r w:rsidR="00564C0A" w:rsidRPr="0046238F">
        <w:rPr>
          <w:rFonts w:ascii="Arial" w:hAnsi="Arial" w:cs="Arial"/>
          <w:sz w:val="22"/>
          <w:szCs w:val="22"/>
        </w:rPr>
        <w:t xml:space="preserve">              </w:t>
      </w:r>
      <w:r w:rsidRPr="0046238F">
        <w:rPr>
          <w:rFonts w:ascii="Arial" w:hAnsi="Arial" w:cs="Arial"/>
          <w:sz w:val="22"/>
          <w:szCs w:val="22"/>
        </w:rPr>
        <w:t xml:space="preserve">6 </w:t>
      </w:r>
      <w:r w:rsidRPr="00040184">
        <w:rPr>
          <w:rFonts w:ascii="Arial" w:hAnsi="Arial" w:cs="Arial"/>
          <w:sz w:val="22"/>
          <w:szCs w:val="22"/>
        </w:rPr>
        <w:t>Cal Land Use Law and Policy Reporter</w:t>
      </w:r>
      <w:r w:rsidRPr="0046238F">
        <w:rPr>
          <w:rFonts w:ascii="Arial" w:hAnsi="Arial" w:cs="Arial"/>
          <w:sz w:val="22"/>
          <w:szCs w:val="22"/>
        </w:rPr>
        <w:t xml:space="preserve"> 11, (1997).</w:t>
      </w:r>
    </w:p>
    <w:p w:rsidR="001064A7" w:rsidRPr="00040184" w:rsidRDefault="001064A7" w:rsidP="00040184">
      <w:pPr>
        <w:pStyle w:val="FootnoteText"/>
        <w:numPr>
          <w:ilvl w:val="0"/>
          <w:numId w:val="44"/>
        </w:numPr>
        <w:spacing w:after="120"/>
        <w:rPr>
          <w:rFonts w:ascii="Arial" w:hAnsi="Arial" w:cs="Arial"/>
          <w:sz w:val="22"/>
          <w:szCs w:val="22"/>
        </w:rPr>
      </w:pPr>
      <w:r w:rsidRPr="00040184">
        <w:rPr>
          <w:rFonts w:ascii="Arial" w:hAnsi="Arial" w:cs="Arial"/>
          <w:sz w:val="22"/>
          <w:szCs w:val="22"/>
        </w:rPr>
        <w:t>“Economic Considerations of Regulatory Takings Reform: Judicial Precedent and Administrative Law v. Legislative Intent,” BNA Environmental Reporter, August 4,</w:t>
      </w:r>
      <w:r w:rsidR="00A86C29" w:rsidRPr="00040184">
        <w:rPr>
          <w:rFonts w:ascii="Arial" w:hAnsi="Arial" w:cs="Arial"/>
          <w:sz w:val="22"/>
          <w:szCs w:val="22"/>
        </w:rPr>
        <w:t xml:space="preserve"> </w:t>
      </w:r>
      <w:r w:rsidRPr="00040184">
        <w:rPr>
          <w:rFonts w:ascii="Arial" w:hAnsi="Arial" w:cs="Arial"/>
          <w:sz w:val="22"/>
          <w:szCs w:val="22"/>
        </w:rPr>
        <w:t xml:space="preserve">1995. </w:t>
      </w:r>
    </w:p>
    <w:p w:rsidR="001064A7" w:rsidRPr="00040184" w:rsidRDefault="001064A7" w:rsidP="00040184">
      <w:pPr>
        <w:pStyle w:val="FootnoteText"/>
        <w:numPr>
          <w:ilvl w:val="0"/>
          <w:numId w:val="44"/>
        </w:numPr>
        <w:spacing w:after="120"/>
        <w:rPr>
          <w:rFonts w:ascii="Arial" w:hAnsi="Arial" w:cs="Arial"/>
          <w:sz w:val="22"/>
          <w:szCs w:val="22"/>
        </w:rPr>
      </w:pPr>
      <w:r w:rsidRPr="00040184">
        <w:rPr>
          <w:rFonts w:ascii="Arial" w:hAnsi="Arial" w:cs="Arial"/>
          <w:sz w:val="22"/>
          <w:szCs w:val="22"/>
        </w:rPr>
        <w:t>“The Role of Economics in Regulatory Takings Cases,” with Robert Trout, Litigation Economics Digest, 1, 1, Fall 1995.</w:t>
      </w:r>
    </w:p>
    <w:p w:rsidR="001064A7" w:rsidRPr="0046238F" w:rsidRDefault="001064A7" w:rsidP="00040184">
      <w:pPr>
        <w:pStyle w:val="FootnoteText"/>
        <w:numPr>
          <w:ilvl w:val="0"/>
          <w:numId w:val="44"/>
        </w:numPr>
        <w:spacing w:after="120"/>
        <w:rPr>
          <w:rFonts w:ascii="Arial" w:hAnsi="Arial" w:cs="Arial"/>
          <w:spacing w:val="-2"/>
          <w:sz w:val="22"/>
          <w:szCs w:val="22"/>
        </w:rPr>
      </w:pPr>
      <w:r w:rsidRPr="00040184">
        <w:rPr>
          <w:rFonts w:ascii="Arial" w:hAnsi="Arial" w:cs="Arial"/>
          <w:sz w:val="22"/>
          <w:szCs w:val="22"/>
        </w:rPr>
        <w:t>“The Role of the Economist in a Regulatory Taking Claim,” California Land Use Law and Policy Reporter</w:t>
      </w:r>
      <w:r w:rsidRPr="0046238F">
        <w:rPr>
          <w:rFonts w:ascii="Arial" w:hAnsi="Arial" w:cs="Arial"/>
          <w:spacing w:val="-2"/>
          <w:sz w:val="22"/>
          <w:szCs w:val="22"/>
        </w:rPr>
        <w:t>, March, 1995.</w:t>
      </w:r>
    </w:p>
    <w:p w:rsidR="00CB2CD1" w:rsidRPr="00EB33FD" w:rsidRDefault="00CB2CD1">
      <w:pPr>
        <w:rPr>
          <w:rFonts w:ascii="Arial" w:hAnsi="Arial" w:cs="Arial"/>
          <w:sz w:val="22"/>
          <w:szCs w:val="22"/>
        </w:rPr>
      </w:pPr>
    </w:p>
    <w:p w:rsidR="00CB2CD1" w:rsidRPr="00EB33FD" w:rsidRDefault="001C3A49" w:rsidP="00CB2CD1">
      <w:pPr>
        <w:spacing w:after="120"/>
        <w:rPr>
          <w:rFonts w:ascii="Arial" w:hAnsi="Arial" w:cs="Arial"/>
          <w:b/>
          <w:sz w:val="22"/>
          <w:szCs w:val="22"/>
        </w:rPr>
      </w:pPr>
      <w:r w:rsidRPr="00EB33FD">
        <w:rPr>
          <w:rFonts w:ascii="Arial" w:hAnsi="Arial" w:cs="Arial"/>
          <w:b/>
          <w:sz w:val="22"/>
          <w:szCs w:val="22"/>
          <w:u w:val="single"/>
        </w:rPr>
        <w:t xml:space="preserve">CLE </w:t>
      </w:r>
      <w:r w:rsidR="001064A7" w:rsidRPr="00EB33FD">
        <w:rPr>
          <w:rFonts w:ascii="Arial" w:hAnsi="Arial" w:cs="Arial"/>
          <w:b/>
          <w:sz w:val="22"/>
          <w:szCs w:val="22"/>
          <w:u w:val="single"/>
        </w:rPr>
        <w:t>Presentations on regulatory takings</w:t>
      </w:r>
      <w:r w:rsidR="001064A7" w:rsidRPr="00EB33FD">
        <w:rPr>
          <w:rFonts w:ascii="Arial" w:hAnsi="Arial" w:cs="Arial"/>
          <w:b/>
          <w:sz w:val="22"/>
          <w:szCs w:val="22"/>
        </w:rPr>
        <w:t xml:space="preserve">: </w:t>
      </w:r>
    </w:p>
    <w:p w:rsidR="00736590" w:rsidRPr="00EB33FD" w:rsidRDefault="005E4D41" w:rsidP="009F2FC2">
      <w:pPr>
        <w:numPr>
          <w:ilvl w:val="0"/>
          <w:numId w:val="38"/>
        </w:numPr>
        <w:spacing w:after="120"/>
        <w:ind w:left="360"/>
        <w:rPr>
          <w:rFonts w:ascii="Arial" w:hAnsi="Arial" w:cs="Arial"/>
          <w:b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“Denominator Problems with </w:t>
      </w:r>
      <w:r w:rsidRPr="00EB33FD">
        <w:rPr>
          <w:rFonts w:ascii="Arial" w:hAnsi="Arial" w:cs="Arial"/>
          <w:i/>
          <w:sz w:val="22"/>
          <w:szCs w:val="22"/>
        </w:rPr>
        <w:t>Penn Central</w:t>
      </w:r>
      <w:r w:rsidRPr="00EB33FD">
        <w:rPr>
          <w:rFonts w:ascii="Arial" w:hAnsi="Arial" w:cs="Arial"/>
          <w:sz w:val="22"/>
          <w:szCs w:val="22"/>
        </w:rPr>
        <w:t xml:space="preserve"> (1978) and </w:t>
      </w:r>
      <w:r w:rsidRPr="00EB33FD">
        <w:rPr>
          <w:rFonts w:ascii="Arial" w:hAnsi="Arial" w:cs="Arial"/>
          <w:i/>
          <w:sz w:val="22"/>
          <w:szCs w:val="22"/>
        </w:rPr>
        <w:t>Mayhew</w:t>
      </w:r>
      <w:r w:rsidRPr="00EB33FD">
        <w:rPr>
          <w:rFonts w:ascii="Arial" w:hAnsi="Arial" w:cs="Arial"/>
          <w:sz w:val="22"/>
          <w:szCs w:val="22"/>
        </w:rPr>
        <w:t xml:space="preserve"> (1998), </w:t>
      </w:r>
      <w:r w:rsidR="009F2FC2" w:rsidRPr="00EB33FD">
        <w:rPr>
          <w:rFonts w:ascii="Arial" w:hAnsi="Arial" w:cs="Arial"/>
          <w:sz w:val="22"/>
          <w:szCs w:val="22"/>
        </w:rPr>
        <w:t xml:space="preserve">12th Annual Texas Eminent Domain </w:t>
      </w:r>
      <w:proofErr w:type="spellStart"/>
      <w:r w:rsidR="009F2FC2" w:rsidRPr="00EB33FD">
        <w:rPr>
          <w:rFonts w:ascii="Arial" w:hAnsi="Arial" w:cs="Arial"/>
          <w:sz w:val="22"/>
          <w:szCs w:val="22"/>
        </w:rPr>
        <w:t>SuperConference</w:t>
      </w:r>
      <w:proofErr w:type="spellEnd"/>
      <w:r w:rsidR="009F2FC2" w:rsidRPr="00EB33FD">
        <w:rPr>
          <w:rFonts w:ascii="Arial" w:hAnsi="Arial" w:cs="Arial"/>
          <w:sz w:val="22"/>
          <w:szCs w:val="22"/>
        </w:rPr>
        <w:t>, Austin, February 11, 2013.</w:t>
      </w:r>
    </w:p>
    <w:p w:rsidR="002873CC" w:rsidRPr="00EB33FD" w:rsidRDefault="002873CC" w:rsidP="00D51DD2">
      <w:pPr>
        <w:pStyle w:val="ListParagraph"/>
        <w:numPr>
          <w:ilvl w:val="0"/>
          <w:numId w:val="38"/>
        </w:numPr>
        <w:spacing w:after="120"/>
        <w:ind w:left="360"/>
        <w:rPr>
          <w:rFonts w:ascii="Arial" w:hAnsi="Arial" w:cs="Arial"/>
          <w:b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"Economically Impoverished Federal Circuit Decisions dim the</w:t>
      </w:r>
      <w:r w:rsidRPr="00EB33FD">
        <w:rPr>
          <w:rFonts w:ascii="Arial" w:hAnsi="Arial" w:cs="Arial"/>
          <w:i/>
          <w:iCs/>
          <w:sz w:val="22"/>
          <w:szCs w:val="22"/>
        </w:rPr>
        <w:t xml:space="preserve"> Polestar</w:t>
      </w:r>
      <w:r w:rsidRPr="00EB33FD">
        <w:rPr>
          <w:rFonts w:ascii="Arial" w:hAnsi="Arial" w:cs="Arial"/>
          <w:sz w:val="22"/>
          <w:szCs w:val="22"/>
        </w:rPr>
        <w:t xml:space="preserve">* of the </w:t>
      </w:r>
      <w:r w:rsidRPr="00EB33FD">
        <w:rPr>
          <w:rFonts w:ascii="Arial" w:hAnsi="Arial" w:cs="Arial"/>
          <w:i/>
          <w:iCs/>
          <w:sz w:val="22"/>
          <w:szCs w:val="22"/>
        </w:rPr>
        <w:t>Penn Central</w:t>
      </w:r>
      <w:r w:rsidRPr="00EB33FD">
        <w:rPr>
          <w:rFonts w:ascii="Arial" w:hAnsi="Arial" w:cs="Arial"/>
          <w:sz w:val="22"/>
          <w:szCs w:val="22"/>
        </w:rPr>
        <w:t xml:space="preserve"> Test,"</w:t>
      </w:r>
      <w:r w:rsidR="007F36D7" w:rsidRPr="00EB33FD">
        <w:rPr>
          <w:rFonts w:ascii="Arial" w:hAnsi="Arial" w:cs="Arial"/>
          <w:sz w:val="22"/>
          <w:szCs w:val="22"/>
        </w:rPr>
        <w:t xml:space="preserve"> </w:t>
      </w:r>
      <w:r w:rsidRPr="00EB33FD">
        <w:rPr>
          <w:rFonts w:ascii="Arial" w:hAnsi="Arial" w:cs="Arial"/>
          <w:sz w:val="22"/>
          <w:szCs w:val="22"/>
        </w:rPr>
        <w:t>ALI-ABA CLE Inverse Condem</w:t>
      </w:r>
      <w:r w:rsidR="00014E1C" w:rsidRPr="00EB33FD">
        <w:rPr>
          <w:rFonts w:ascii="Arial" w:hAnsi="Arial" w:cs="Arial"/>
          <w:sz w:val="22"/>
          <w:szCs w:val="22"/>
        </w:rPr>
        <w:t>n</w:t>
      </w:r>
      <w:r w:rsidRPr="00EB33FD">
        <w:rPr>
          <w:rFonts w:ascii="Arial" w:hAnsi="Arial" w:cs="Arial"/>
          <w:sz w:val="22"/>
          <w:szCs w:val="22"/>
        </w:rPr>
        <w:t xml:space="preserve">ation seminar, February 2011, Coral Gables FL. (*“Our polestar instead remains the principles set forth in </w:t>
      </w:r>
      <w:r w:rsidRPr="00EB33FD">
        <w:rPr>
          <w:rFonts w:ascii="Arial" w:hAnsi="Arial" w:cs="Arial"/>
          <w:i/>
          <w:iCs/>
          <w:sz w:val="22"/>
          <w:szCs w:val="22"/>
        </w:rPr>
        <w:t>Penn Central</w:t>
      </w:r>
      <w:r w:rsidRPr="00EB33FD">
        <w:rPr>
          <w:rFonts w:ascii="Arial" w:hAnsi="Arial" w:cs="Arial"/>
          <w:sz w:val="22"/>
          <w:szCs w:val="22"/>
        </w:rPr>
        <w:t xml:space="preserve"> itself and our other cases that govern partial regulatory takings.”  (</w:t>
      </w:r>
      <w:r w:rsidRPr="00EB33FD">
        <w:rPr>
          <w:rFonts w:ascii="Arial" w:hAnsi="Arial" w:cs="Arial"/>
          <w:i/>
          <w:iCs/>
          <w:sz w:val="22"/>
          <w:szCs w:val="22"/>
        </w:rPr>
        <w:t>Palazzolo v. Rhode Island,</w:t>
      </w:r>
      <w:r w:rsidRPr="00EB33FD">
        <w:rPr>
          <w:rFonts w:ascii="Arial" w:hAnsi="Arial" w:cs="Arial"/>
          <w:sz w:val="22"/>
          <w:szCs w:val="22"/>
        </w:rPr>
        <w:t xml:space="preserve"> 533 U.S. 606, 617–18 (2001) (O’Connor, J., concurring).</w:t>
      </w:r>
    </w:p>
    <w:p w:rsidR="0098537B" w:rsidRPr="00EB33FD" w:rsidRDefault="00264DD6" w:rsidP="00654B07">
      <w:pPr>
        <w:numPr>
          <w:ilvl w:val="1"/>
          <w:numId w:val="29"/>
        </w:numPr>
        <w:tabs>
          <w:tab w:val="clear" w:pos="144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“</w:t>
      </w:r>
      <w:r w:rsidR="0098537B" w:rsidRPr="00EB33FD">
        <w:rPr>
          <w:rFonts w:ascii="Arial" w:hAnsi="Arial" w:cs="Arial"/>
          <w:sz w:val="22"/>
          <w:szCs w:val="22"/>
        </w:rPr>
        <w:t>Valuing a Temporary Takings Claim:  ‘Every Which Way but Right,’</w:t>
      </w:r>
      <w:r w:rsidRPr="00EB33FD">
        <w:rPr>
          <w:rFonts w:ascii="Arial" w:hAnsi="Arial" w:cs="Arial"/>
          <w:sz w:val="22"/>
          <w:szCs w:val="22"/>
        </w:rPr>
        <w:t>”</w:t>
      </w:r>
      <w:r w:rsidR="0098537B" w:rsidRPr="00EB33FD">
        <w:rPr>
          <w:rFonts w:ascii="Arial" w:hAnsi="Arial" w:cs="Arial"/>
          <w:sz w:val="22"/>
          <w:szCs w:val="22"/>
        </w:rPr>
        <w:t xml:space="preserve"> </w:t>
      </w:r>
      <w:r w:rsidR="0098537B" w:rsidRPr="00EB33FD">
        <w:rPr>
          <w:rFonts w:ascii="Arial" w:hAnsi="Arial" w:cs="Arial"/>
          <w:bCs/>
          <w:sz w:val="22"/>
          <w:szCs w:val="22"/>
        </w:rPr>
        <w:t>ALI-ABA Conference, Inverse Condemnation and Related Government Liability, Scottsdale, April 14, 2007</w:t>
      </w:r>
    </w:p>
    <w:p w:rsidR="00931581" w:rsidRPr="00EB33FD" w:rsidRDefault="00931581" w:rsidP="00654B07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b/>
          <w:sz w:val="22"/>
          <w:szCs w:val="22"/>
        </w:rPr>
      </w:pPr>
      <w:r w:rsidRPr="00EB33FD">
        <w:rPr>
          <w:rFonts w:ascii="Arial" w:hAnsi="Arial" w:cs="Arial"/>
          <w:bCs/>
          <w:sz w:val="22"/>
          <w:szCs w:val="22"/>
        </w:rPr>
        <w:t>United States Court of Federal Claims, 18</w:t>
      </w:r>
      <w:r w:rsidRPr="00EB33F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B33FD">
        <w:rPr>
          <w:rFonts w:ascii="Arial" w:hAnsi="Arial" w:cs="Arial"/>
          <w:bCs/>
          <w:sz w:val="22"/>
          <w:szCs w:val="22"/>
        </w:rPr>
        <w:t xml:space="preserve"> Judicial Conference, “Damages </w:t>
      </w:r>
      <w:r w:rsidR="00AC5A7E" w:rsidRPr="00EB33FD">
        <w:rPr>
          <w:rFonts w:ascii="Arial" w:hAnsi="Arial" w:cs="Arial"/>
          <w:bCs/>
          <w:sz w:val="22"/>
          <w:szCs w:val="22"/>
        </w:rPr>
        <w:t>against</w:t>
      </w:r>
      <w:r w:rsidRPr="00EB33FD">
        <w:rPr>
          <w:rFonts w:ascii="Arial" w:hAnsi="Arial" w:cs="Arial"/>
          <w:bCs/>
          <w:sz w:val="22"/>
          <w:szCs w:val="22"/>
        </w:rPr>
        <w:t xml:space="preserve"> the Sovereign: Theory and Practice,” Panelist on Damages, November 4, 2005.</w:t>
      </w:r>
    </w:p>
    <w:p w:rsidR="00BF4A13" w:rsidRPr="00EB33FD" w:rsidRDefault="00BF4A13" w:rsidP="00654B07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“Vicissitudes of Valuing a Temporary Takings Claim; or, 'Sophistical and Abstruse Formulas' Made Simple."  (</w:t>
      </w:r>
      <w:proofErr w:type="gramStart"/>
      <w:r w:rsidRPr="00EB33FD">
        <w:rPr>
          <w:rFonts w:ascii="Arial" w:hAnsi="Arial" w:cs="Arial"/>
          <w:sz w:val="22"/>
          <w:szCs w:val="22"/>
        </w:rPr>
        <w:t>with</w:t>
      </w:r>
      <w:proofErr w:type="gramEnd"/>
      <w:r w:rsidRPr="00EB33FD">
        <w:rPr>
          <w:rFonts w:ascii="Arial" w:hAnsi="Arial" w:cs="Arial"/>
          <w:sz w:val="22"/>
          <w:szCs w:val="22"/>
        </w:rPr>
        <w:t xml:space="preserve"> thanks to Justice FRANKFURTER @ (338 U.S. 1, 20, 1949)</w:t>
      </w:r>
      <w:r w:rsidR="00C351A5" w:rsidRPr="00EB33FD">
        <w:rPr>
          <w:rFonts w:ascii="Arial" w:hAnsi="Arial" w:cs="Arial"/>
          <w:sz w:val="22"/>
          <w:szCs w:val="22"/>
        </w:rPr>
        <w:t xml:space="preserve">, </w:t>
      </w:r>
      <w:r w:rsidRPr="00EB33FD">
        <w:rPr>
          <w:rFonts w:ascii="Arial" w:hAnsi="Arial" w:cs="Arial"/>
          <w:sz w:val="22"/>
          <w:szCs w:val="22"/>
        </w:rPr>
        <w:t>ALI-ABA Conference, Boston, October 1, 2005.</w:t>
      </w:r>
    </w:p>
    <w:p w:rsidR="00CB2CD1" w:rsidRPr="00EB33FD" w:rsidRDefault="001064A7" w:rsidP="00564C0A">
      <w:pPr>
        <w:numPr>
          <w:ilvl w:val="0"/>
          <w:numId w:val="15"/>
        </w:numPr>
        <w:tabs>
          <w:tab w:val="clear" w:pos="180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pacing w:val="-2"/>
          <w:sz w:val="22"/>
          <w:szCs w:val="22"/>
        </w:rPr>
        <w:t xml:space="preserve">“Bennett &amp; Undue Economic Hardship: Florida Rock V’s ‘Stable Framework’ to Analyze Penn Central’s Significant Factors,” </w:t>
      </w:r>
      <w:r w:rsidRPr="00EB33FD">
        <w:rPr>
          <w:rFonts w:ascii="Arial" w:hAnsi="Arial" w:cs="Arial"/>
          <w:sz w:val="22"/>
          <w:szCs w:val="22"/>
        </w:rPr>
        <w:t>Law Seminars International Conference,</w:t>
      </w:r>
      <w:r w:rsidRPr="00EB33FD">
        <w:rPr>
          <w:rFonts w:ascii="Arial" w:hAnsi="Arial" w:cs="Arial"/>
          <w:spacing w:val="-2"/>
          <w:sz w:val="22"/>
          <w:szCs w:val="22"/>
        </w:rPr>
        <w:t xml:space="preserve"> San Francisco, November 1999.</w:t>
      </w:r>
    </w:p>
    <w:p w:rsidR="00CB2CD1" w:rsidRPr="00EB33FD" w:rsidRDefault="001064A7" w:rsidP="00564C0A">
      <w:pPr>
        <w:numPr>
          <w:ilvl w:val="0"/>
          <w:numId w:val="14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“</w:t>
      </w:r>
      <w:r w:rsidR="00C351A5" w:rsidRPr="00EB33FD">
        <w:rPr>
          <w:rFonts w:ascii="Arial" w:hAnsi="Arial" w:cs="Arial"/>
          <w:bCs/>
          <w:i/>
          <w:iCs/>
          <w:sz w:val="22"/>
          <w:szCs w:val="22"/>
        </w:rPr>
        <w:t>Penn Central’s</w:t>
      </w:r>
      <w:r w:rsidR="00C351A5" w:rsidRPr="00EB33FD">
        <w:rPr>
          <w:rFonts w:ascii="Arial" w:hAnsi="Arial" w:cs="Arial"/>
          <w:bCs/>
          <w:sz w:val="22"/>
          <w:szCs w:val="22"/>
        </w:rPr>
        <w:t xml:space="preserve"> Economic Failings Confounded Takings Jurisprudence,”</w:t>
      </w:r>
      <w:r w:rsidR="00C243BA" w:rsidRPr="00EB33FD">
        <w:rPr>
          <w:rFonts w:ascii="Arial" w:hAnsi="Arial" w:cs="Arial"/>
          <w:bCs/>
          <w:sz w:val="22"/>
          <w:szCs w:val="22"/>
        </w:rPr>
        <w:t xml:space="preserve"> </w:t>
      </w:r>
      <w:r w:rsidRPr="00EB33FD">
        <w:rPr>
          <w:rFonts w:ascii="Arial" w:hAnsi="Arial" w:cs="Arial"/>
          <w:sz w:val="22"/>
          <w:szCs w:val="22"/>
        </w:rPr>
        <w:t>ALI-ABA Conference, Boston, September 30, 1999.</w:t>
      </w:r>
    </w:p>
    <w:p w:rsidR="00CB2CD1" w:rsidRPr="00EB33FD" w:rsidRDefault="001064A7" w:rsidP="00931581">
      <w:pPr>
        <w:numPr>
          <w:ilvl w:val="0"/>
          <w:numId w:val="14"/>
        </w:numPr>
        <w:tabs>
          <w:tab w:val="clear" w:pos="720"/>
        </w:tabs>
        <w:spacing w:after="120"/>
        <w:ind w:left="450" w:hanging="450"/>
        <w:rPr>
          <w:rFonts w:ascii="Arial" w:hAnsi="Arial" w:cs="Arial"/>
          <w:spacing w:val="-2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“Economic Considerations of Regulatory Takings</w:t>
      </w:r>
      <w:r w:rsidRPr="00EB33FD">
        <w:rPr>
          <w:rFonts w:ascii="Arial" w:hAnsi="Arial" w:cs="Arial"/>
          <w:i/>
          <w:sz w:val="22"/>
          <w:szCs w:val="22"/>
        </w:rPr>
        <w:t>,”</w:t>
      </w:r>
      <w:r w:rsidRPr="00EB33FD">
        <w:rPr>
          <w:rFonts w:ascii="Arial" w:hAnsi="Arial" w:cs="Arial"/>
          <w:sz w:val="22"/>
          <w:szCs w:val="22"/>
        </w:rPr>
        <w:t xml:space="preserve"> Presentation, </w:t>
      </w:r>
      <w:r w:rsidRPr="00EB33FD">
        <w:rPr>
          <w:rFonts w:ascii="Arial" w:hAnsi="Arial" w:cs="Arial"/>
          <w:i/>
          <w:sz w:val="22"/>
          <w:szCs w:val="22"/>
        </w:rPr>
        <w:t>Restructuring in California: The Morning After</w:t>
      </w:r>
      <w:r w:rsidRPr="00EB33FD">
        <w:rPr>
          <w:rFonts w:ascii="Arial" w:hAnsi="Arial" w:cs="Arial"/>
          <w:sz w:val="22"/>
          <w:szCs w:val="22"/>
        </w:rPr>
        <w:t xml:space="preserve">, Law Seminars International Conference, Sacramento, CA, September 1998. </w:t>
      </w:r>
    </w:p>
    <w:p w:rsidR="001064A7" w:rsidRPr="00EB33FD" w:rsidRDefault="001064A7" w:rsidP="00CB2CD1">
      <w:pPr>
        <w:numPr>
          <w:ilvl w:val="0"/>
          <w:numId w:val="14"/>
        </w:numPr>
        <w:tabs>
          <w:tab w:val="clear" w:pos="720"/>
        </w:tabs>
        <w:spacing w:after="120"/>
        <w:ind w:left="450" w:hanging="450"/>
        <w:rPr>
          <w:rFonts w:ascii="Arial" w:hAnsi="Arial" w:cs="Arial"/>
          <w:spacing w:val="-2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lastRenderedPageBreak/>
        <w:t>“Economic Considerations of Regulatory Takings: ‘The Mouse that Roared,’” CLE International Regulatory Takings Conference, San Francisco, March 2, 1995.</w:t>
      </w:r>
    </w:p>
    <w:p w:rsidR="009D05D9" w:rsidRPr="00EB33FD" w:rsidRDefault="009D05D9" w:rsidP="00CB2CD1">
      <w:pPr>
        <w:keepNext/>
        <w:keepLines/>
        <w:tabs>
          <w:tab w:val="left" w:pos="-720"/>
          <w:tab w:val="left" w:pos="0"/>
          <w:tab w:val="left" w:pos="490"/>
          <w:tab w:val="left" w:pos="1440"/>
        </w:tabs>
        <w:suppressAutoHyphens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:rsidR="009D05D9" w:rsidRPr="00EB33FD" w:rsidRDefault="009D05D9" w:rsidP="00D81168">
      <w:pPr>
        <w:pStyle w:val="BodyText"/>
        <w:spacing w:after="12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EB33FD">
        <w:rPr>
          <w:rFonts w:ascii="Arial" w:hAnsi="Arial" w:cs="Arial"/>
          <w:b/>
          <w:sz w:val="22"/>
          <w:szCs w:val="22"/>
          <w:u w:val="single"/>
        </w:rPr>
        <w:t>Selected Other Litigation Cases:</w:t>
      </w:r>
      <w:r w:rsidR="00D81168" w:rsidRPr="00EB33F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A673B" w:rsidRPr="00EB33FD" w:rsidRDefault="009D05D9" w:rsidP="003A673B">
      <w:pPr>
        <w:pStyle w:val="BodyText"/>
        <w:jc w:val="left"/>
        <w:rPr>
          <w:rFonts w:ascii="Arial" w:hAnsi="Arial" w:cs="Arial"/>
          <w:sz w:val="22"/>
          <w:szCs w:val="22"/>
        </w:rPr>
      </w:pPr>
      <w:proofErr w:type="gramStart"/>
      <w:r w:rsidRPr="00EB33FD">
        <w:rPr>
          <w:rFonts w:ascii="Arial" w:hAnsi="Arial" w:cs="Arial"/>
          <w:sz w:val="22"/>
          <w:szCs w:val="22"/>
        </w:rPr>
        <w:t>Selected cases to illustrate range of expertise – antitrust, valuations, lost profits and environmental damages.</w:t>
      </w:r>
      <w:proofErr w:type="gramEnd"/>
    </w:p>
    <w:p w:rsidR="00396AA9" w:rsidRPr="00EB33FD" w:rsidRDefault="00396AA9" w:rsidP="003A673B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D51DD2" w:rsidRDefault="00D51DD2" w:rsidP="008963ED">
      <w:pPr>
        <w:pStyle w:val="BodyText"/>
        <w:numPr>
          <w:ilvl w:val="0"/>
          <w:numId w:val="41"/>
        </w:numPr>
        <w:spacing w:after="60"/>
        <w:ind w:left="450" w:hanging="45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City of Waynesboro, TN v. State of TN TDOT, Valuation for plaintiff of lost water supply due to road widening, 2015. Case settled. </w:t>
      </w:r>
    </w:p>
    <w:p w:rsidR="00564C0A" w:rsidRPr="00EB33FD" w:rsidRDefault="00564C0A" w:rsidP="008963ED">
      <w:pPr>
        <w:pStyle w:val="BodyText"/>
        <w:numPr>
          <w:ilvl w:val="0"/>
          <w:numId w:val="41"/>
        </w:numPr>
        <w:spacing w:after="60"/>
        <w:ind w:left="450" w:hanging="450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Harpeth</w:t>
      </w:r>
      <w:proofErr w:type="gramEnd"/>
      <w:r>
        <w:rPr>
          <w:rFonts w:ascii="Arial" w:hAnsi="Arial" w:cs="Arial"/>
          <w:sz w:val="22"/>
          <w:szCs w:val="22"/>
        </w:rPr>
        <w:t xml:space="preserve"> River Watershed Assoc. v. City of Franklin TN, Valuation for plaintiff of </w:t>
      </w:r>
      <w:r w:rsidR="00B65821">
        <w:rPr>
          <w:rFonts w:ascii="Arial" w:hAnsi="Arial" w:cs="Arial"/>
          <w:sz w:val="22"/>
          <w:szCs w:val="22"/>
        </w:rPr>
        <w:t xml:space="preserve">financial and </w:t>
      </w:r>
      <w:r>
        <w:rPr>
          <w:rFonts w:ascii="Arial" w:hAnsi="Arial" w:cs="Arial"/>
          <w:sz w:val="22"/>
          <w:szCs w:val="22"/>
        </w:rPr>
        <w:t>economic costs of expanded water treatment plant</w:t>
      </w:r>
      <w:r w:rsidR="00B65821">
        <w:rPr>
          <w:rFonts w:ascii="Arial" w:hAnsi="Arial" w:cs="Arial"/>
          <w:sz w:val="22"/>
          <w:szCs w:val="22"/>
        </w:rPr>
        <w:t>, ongoing</w:t>
      </w:r>
      <w:r w:rsidR="00B81900">
        <w:rPr>
          <w:rFonts w:ascii="Arial" w:hAnsi="Arial" w:cs="Arial"/>
          <w:sz w:val="22"/>
          <w:szCs w:val="22"/>
        </w:rPr>
        <w:t>, 2014-2015</w:t>
      </w:r>
      <w:r w:rsidR="00B65821">
        <w:rPr>
          <w:rFonts w:ascii="Arial" w:hAnsi="Arial" w:cs="Arial"/>
          <w:sz w:val="22"/>
          <w:szCs w:val="22"/>
        </w:rPr>
        <w:t>.</w:t>
      </w:r>
    </w:p>
    <w:p w:rsidR="00557B95" w:rsidRPr="00EB33FD" w:rsidRDefault="00396AA9" w:rsidP="008963ED">
      <w:pPr>
        <w:pStyle w:val="BodyText"/>
        <w:numPr>
          <w:ilvl w:val="0"/>
          <w:numId w:val="41"/>
        </w:numPr>
        <w:spacing w:after="60"/>
        <w:ind w:left="450" w:hanging="45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Confidential (Nashville) </w:t>
      </w:r>
      <w:r w:rsidRPr="00EB33FD">
        <w:rPr>
          <w:rFonts w:ascii="Arial" w:hAnsi="Arial" w:cs="Arial"/>
          <w:sz w:val="22"/>
          <w:szCs w:val="22"/>
        </w:rPr>
        <w:tab/>
        <w:t xml:space="preserve">Rebuttal of damages of lost </w:t>
      </w:r>
      <w:r w:rsidR="001233BB" w:rsidRPr="00EB33FD">
        <w:rPr>
          <w:rFonts w:ascii="Arial" w:hAnsi="Arial" w:cs="Arial"/>
          <w:sz w:val="22"/>
          <w:szCs w:val="22"/>
        </w:rPr>
        <w:t>use of mineral property</w:t>
      </w:r>
      <w:r w:rsidRPr="00EB33FD">
        <w:rPr>
          <w:rFonts w:ascii="Arial" w:hAnsi="Arial" w:cs="Arial"/>
          <w:sz w:val="22"/>
          <w:szCs w:val="22"/>
        </w:rPr>
        <w:t>.</w:t>
      </w:r>
    </w:p>
    <w:p w:rsidR="009D05D9" w:rsidRPr="00EB33FD" w:rsidRDefault="00396AA9" w:rsidP="001233BB">
      <w:pPr>
        <w:pStyle w:val="BodyText"/>
        <w:numPr>
          <w:ilvl w:val="0"/>
          <w:numId w:val="37"/>
        </w:numPr>
        <w:spacing w:after="60"/>
        <w:ind w:left="450" w:right="-180" w:hanging="45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Plaquemines Parish</w:t>
      </w:r>
      <w:r w:rsidR="00557B95" w:rsidRPr="00EB33FD">
        <w:rPr>
          <w:rFonts w:ascii="Arial" w:hAnsi="Arial" w:cs="Arial"/>
          <w:sz w:val="22"/>
          <w:szCs w:val="22"/>
        </w:rPr>
        <w:t xml:space="preserve"> v. BP </w:t>
      </w:r>
      <w:r w:rsidR="00557B95" w:rsidRPr="00EB33FD">
        <w:rPr>
          <w:rFonts w:ascii="Arial" w:hAnsi="Arial" w:cs="Arial"/>
          <w:i/>
          <w:sz w:val="22"/>
          <w:szCs w:val="22"/>
        </w:rPr>
        <w:t>et al</w:t>
      </w:r>
      <w:r w:rsidR="00564C0A">
        <w:rPr>
          <w:rFonts w:ascii="Arial" w:hAnsi="Arial" w:cs="Arial"/>
          <w:i/>
          <w:sz w:val="22"/>
          <w:szCs w:val="22"/>
        </w:rPr>
        <w:t>,</w:t>
      </w:r>
      <w:r w:rsidR="00557B95" w:rsidRPr="00EB33FD">
        <w:rPr>
          <w:rFonts w:ascii="Arial" w:hAnsi="Arial" w:cs="Arial"/>
          <w:sz w:val="22"/>
          <w:szCs w:val="22"/>
        </w:rPr>
        <w:tab/>
        <w:t xml:space="preserve">Damages related to lost </w:t>
      </w:r>
      <w:r w:rsidR="001233BB" w:rsidRPr="00EB33FD">
        <w:rPr>
          <w:rFonts w:ascii="Arial" w:hAnsi="Arial" w:cs="Arial"/>
          <w:sz w:val="22"/>
          <w:szCs w:val="22"/>
        </w:rPr>
        <w:t xml:space="preserve">government revenues and </w:t>
      </w:r>
      <w:r w:rsidR="00564C0A">
        <w:rPr>
          <w:rFonts w:ascii="Arial" w:hAnsi="Arial" w:cs="Arial"/>
          <w:sz w:val="22"/>
          <w:szCs w:val="22"/>
        </w:rPr>
        <w:t>consultation, Gulf of Mexico oil blow-out</w:t>
      </w:r>
      <w:r w:rsidR="00401893" w:rsidRPr="00EB33FD">
        <w:rPr>
          <w:rFonts w:ascii="Arial" w:hAnsi="Arial" w:cs="Arial"/>
          <w:sz w:val="22"/>
          <w:szCs w:val="22"/>
        </w:rPr>
        <w:t>.</w:t>
      </w:r>
    </w:p>
    <w:p w:rsidR="00D81168" w:rsidRPr="00EB33FD" w:rsidRDefault="00D81168" w:rsidP="00C877D4">
      <w:pPr>
        <w:pStyle w:val="BodyText"/>
        <w:numPr>
          <w:ilvl w:val="0"/>
          <w:numId w:val="37"/>
        </w:numPr>
        <w:spacing w:after="60"/>
        <w:ind w:left="446" w:right="-187" w:hanging="446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Cit</w:t>
      </w:r>
      <w:r w:rsidR="00502F01" w:rsidRPr="00EB33FD">
        <w:rPr>
          <w:rFonts w:ascii="Arial" w:hAnsi="Arial" w:cs="Arial"/>
          <w:sz w:val="22"/>
          <w:szCs w:val="22"/>
        </w:rPr>
        <w:t xml:space="preserve">y of San Diego v. Kinder Morgan </w:t>
      </w:r>
      <w:r w:rsidR="00502F01"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>Rebuttal of damages from lost use of contaminated groundwater aquifer</w:t>
      </w:r>
      <w:r w:rsidR="00A374F1" w:rsidRPr="00EB33FD">
        <w:rPr>
          <w:rFonts w:ascii="Arial" w:hAnsi="Arial" w:cs="Arial"/>
          <w:sz w:val="22"/>
          <w:szCs w:val="22"/>
        </w:rPr>
        <w:t>.  (Damages dropped on Summary Judgment.</w:t>
      </w:r>
      <w:r w:rsidR="00502F01" w:rsidRPr="00EB33FD">
        <w:rPr>
          <w:rFonts w:ascii="Arial" w:hAnsi="Arial" w:cs="Arial"/>
          <w:sz w:val="22"/>
          <w:szCs w:val="22"/>
        </w:rPr>
        <w:t>)</w:t>
      </w:r>
      <w:r w:rsidR="00A374F1" w:rsidRPr="00EB33FD">
        <w:rPr>
          <w:rFonts w:ascii="Arial" w:hAnsi="Arial" w:cs="Arial"/>
          <w:sz w:val="22"/>
          <w:szCs w:val="22"/>
        </w:rPr>
        <w:t xml:space="preserve"> </w:t>
      </w:r>
      <w:r w:rsidR="00401893" w:rsidRPr="00EB33FD">
        <w:rPr>
          <w:rFonts w:ascii="Arial" w:hAnsi="Arial" w:cs="Arial"/>
          <w:sz w:val="22"/>
          <w:szCs w:val="22"/>
        </w:rPr>
        <w:t xml:space="preserve"> </w:t>
      </w:r>
      <w:r w:rsidR="00A374F1" w:rsidRPr="00EB33FD">
        <w:rPr>
          <w:rFonts w:ascii="Arial" w:hAnsi="Arial" w:cs="Arial"/>
          <w:sz w:val="22"/>
          <w:szCs w:val="22"/>
        </w:rPr>
        <w:t>(See Water Resources resume.)</w:t>
      </w:r>
    </w:p>
    <w:p w:rsidR="00A82F5A" w:rsidRPr="00EB33FD" w:rsidRDefault="00502F01" w:rsidP="008963ED">
      <w:pPr>
        <w:pStyle w:val="BodyText"/>
        <w:numPr>
          <w:ilvl w:val="0"/>
          <w:numId w:val="32"/>
        </w:numPr>
        <w:tabs>
          <w:tab w:val="clear" w:pos="1800"/>
        </w:tabs>
        <w:spacing w:after="60"/>
        <w:ind w:left="450" w:right="-180" w:hanging="45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Tampa Bay Water v. HDR, et al.</w:t>
      </w:r>
      <w:r w:rsidRPr="00EB33FD">
        <w:rPr>
          <w:rFonts w:ascii="Arial" w:hAnsi="Arial" w:cs="Arial"/>
          <w:sz w:val="22"/>
          <w:szCs w:val="22"/>
        </w:rPr>
        <w:tab/>
      </w:r>
      <w:r w:rsidR="00A82F5A" w:rsidRPr="00EB33FD">
        <w:rPr>
          <w:rFonts w:ascii="Arial" w:hAnsi="Arial" w:cs="Arial"/>
          <w:sz w:val="22"/>
          <w:szCs w:val="22"/>
        </w:rPr>
        <w:t>Rebuttal of damages from alleged lost water supplies.</w:t>
      </w:r>
      <w:r w:rsidR="00654B07" w:rsidRPr="00EB33FD">
        <w:rPr>
          <w:rFonts w:ascii="Arial" w:hAnsi="Arial" w:cs="Arial"/>
          <w:sz w:val="22"/>
          <w:szCs w:val="22"/>
        </w:rPr>
        <w:t xml:space="preserve"> </w:t>
      </w:r>
      <w:r w:rsidRPr="00EB33FD">
        <w:rPr>
          <w:rFonts w:ascii="Arial" w:hAnsi="Arial" w:cs="Arial"/>
          <w:sz w:val="22"/>
          <w:szCs w:val="22"/>
        </w:rPr>
        <w:t xml:space="preserve"> </w:t>
      </w:r>
      <w:r w:rsidR="00654B07" w:rsidRPr="00EB33FD">
        <w:rPr>
          <w:rFonts w:ascii="Arial" w:hAnsi="Arial" w:cs="Arial"/>
          <w:sz w:val="22"/>
          <w:szCs w:val="22"/>
        </w:rPr>
        <w:t xml:space="preserve">(Plaintiff partially withdrew loss claim; </w:t>
      </w:r>
      <w:r w:rsidR="00654B07" w:rsidRPr="00EB33FD">
        <w:rPr>
          <w:rFonts w:ascii="Arial" w:hAnsi="Arial" w:cs="Arial"/>
          <w:i/>
          <w:sz w:val="22"/>
          <w:szCs w:val="22"/>
        </w:rPr>
        <w:t>Daubert</w:t>
      </w:r>
      <w:r w:rsidR="00654B07" w:rsidRPr="00EB33FD">
        <w:rPr>
          <w:rFonts w:ascii="Arial" w:hAnsi="Arial" w:cs="Arial"/>
          <w:sz w:val="22"/>
          <w:szCs w:val="22"/>
        </w:rPr>
        <w:t xml:space="preserve"> challenge removed the balance of the claim.</w:t>
      </w:r>
    </w:p>
    <w:p w:rsidR="009D05D9" w:rsidRPr="00EB33FD" w:rsidRDefault="009D05D9" w:rsidP="008963ED">
      <w:pPr>
        <w:pStyle w:val="BodyText"/>
        <w:numPr>
          <w:ilvl w:val="0"/>
          <w:numId w:val="32"/>
        </w:numPr>
        <w:tabs>
          <w:tab w:val="clear" w:pos="1800"/>
        </w:tabs>
        <w:spacing w:after="60"/>
        <w:ind w:left="450" w:hanging="45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Interst</w:t>
      </w:r>
      <w:r w:rsidR="00502F01" w:rsidRPr="00EB33FD">
        <w:rPr>
          <w:rFonts w:ascii="Arial" w:hAnsi="Arial" w:cs="Arial"/>
          <w:sz w:val="22"/>
          <w:szCs w:val="22"/>
        </w:rPr>
        <w:t>ate confidential water dispute</w:t>
      </w:r>
      <w:r w:rsidR="00502F01"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 xml:space="preserve">Valuation of </w:t>
      </w:r>
      <w:r w:rsidR="00396AA9" w:rsidRPr="00EB33FD">
        <w:rPr>
          <w:rFonts w:ascii="Arial" w:hAnsi="Arial" w:cs="Arial"/>
          <w:sz w:val="22"/>
          <w:szCs w:val="22"/>
        </w:rPr>
        <w:t>disputed interstate</w:t>
      </w:r>
      <w:r w:rsidRPr="00EB33FD">
        <w:rPr>
          <w:rFonts w:ascii="Arial" w:hAnsi="Arial" w:cs="Arial"/>
          <w:sz w:val="22"/>
          <w:szCs w:val="22"/>
        </w:rPr>
        <w:t xml:space="preserve"> water flows</w:t>
      </w:r>
      <w:r w:rsidR="00A82F5A" w:rsidRPr="00EB33FD">
        <w:rPr>
          <w:rFonts w:ascii="Arial" w:hAnsi="Arial" w:cs="Arial"/>
          <w:sz w:val="22"/>
          <w:szCs w:val="22"/>
        </w:rPr>
        <w:t>.</w:t>
      </w:r>
    </w:p>
    <w:p w:rsidR="009D05D9" w:rsidRPr="00EB33FD" w:rsidRDefault="00E61F04" w:rsidP="00C877D4">
      <w:pPr>
        <w:pStyle w:val="BodyText"/>
        <w:numPr>
          <w:ilvl w:val="0"/>
          <w:numId w:val="32"/>
        </w:numPr>
        <w:tabs>
          <w:tab w:val="clear" w:pos="1800"/>
        </w:tabs>
        <w:spacing w:after="60"/>
        <w:ind w:left="446" w:hanging="446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Royals v. </w:t>
      </w:r>
      <w:r w:rsidR="009A64DC" w:rsidRPr="00EB33FD">
        <w:rPr>
          <w:rFonts w:ascii="Arial" w:hAnsi="Arial" w:cs="Arial"/>
          <w:sz w:val="22"/>
          <w:szCs w:val="22"/>
        </w:rPr>
        <w:t xml:space="preserve">Campbell </w:t>
      </w:r>
      <w:r w:rsidRPr="00EB33FD">
        <w:rPr>
          <w:rFonts w:ascii="Arial" w:hAnsi="Arial" w:cs="Arial"/>
          <w:sz w:val="22"/>
          <w:szCs w:val="22"/>
        </w:rPr>
        <w:t>County</w:t>
      </w:r>
      <w:r w:rsidR="009A64DC" w:rsidRPr="00EB33FD">
        <w:rPr>
          <w:rFonts w:ascii="Arial" w:hAnsi="Arial" w:cs="Arial"/>
          <w:sz w:val="22"/>
          <w:szCs w:val="22"/>
        </w:rPr>
        <w:t xml:space="preserve"> VA</w:t>
      </w:r>
      <w:r w:rsidR="00120C65" w:rsidRPr="00EB33FD">
        <w:rPr>
          <w:rFonts w:ascii="Arial" w:hAnsi="Arial" w:cs="Arial"/>
          <w:sz w:val="22"/>
          <w:szCs w:val="22"/>
        </w:rPr>
        <w:tab/>
      </w:r>
      <w:r w:rsidR="009D05D9" w:rsidRPr="00EB33FD">
        <w:rPr>
          <w:rFonts w:ascii="Arial" w:hAnsi="Arial" w:cs="Arial"/>
          <w:sz w:val="22"/>
          <w:szCs w:val="22"/>
        </w:rPr>
        <w:t xml:space="preserve">Lost profits </w:t>
      </w:r>
      <w:r w:rsidR="00FB51BA" w:rsidRPr="00EB33FD">
        <w:rPr>
          <w:rFonts w:ascii="Arial" w:hAnsi="Arial" w:cs="Arial"/>
          <w:sz w:val="22"/>
          <w:szCs w:val="22"/>
        </w:rPr>
        <w:t>and replacement cost</w:t>
      </w:r>
      <w:r w:rsidR="00A374F1" w:rsidRPr="00EB33FD">
        <w:rPr>
          <w:rFonts w:ascii="Arial" w:hAnsi="Arial" w:cs="Arial"/>
          <w:sz w:val="22"/>
          <w:szCs w:val="22"/>
        </w:rPr>
        <w:t xml:space="preserve"> estimates </w:t>
      </w:r>
      <w:r w:rsidR="009D05D9" w:rsidRPr="00EB33FD">
        <w:rPr>
          <w:rFonts w:ascii="Arial" w:hAnsi="Arial" w:cs="Arial"/>
          <w:sz w:val="22"/>
          <w:szCs w:val="22"/>
        </w:rPr>
        <w:t xml:space="preserve">due to </w:t>
      </w:r>
      <w:r w:rsidR="00D81168" w:rsidRPr="00EB33FD">
        <w:rPr>
          <w:rFonts w:ascii="Arial" w:hAnsi="Arial" w:cs="Arial"/>
          <w:sz w:val="22"/>
          <w:szCs w:val="22"/>
        </w:rPr>
        <w:t xml:space="preserve">groundwater </w:t>
      </w:r>
      <w:r w:rsidR="009D05D9" w:rsidRPr="00EB33FD">
        <w:rPr>
          <w:rFonts w:ascii="Arial" w:hAnsi="Arial" w:cs="Arial"/>
          <w:sz w:val="22"/>
          <w:szCs w:val="22"/>
        </w:rPr>
        <w:t>contamination</w:t>
      </w:r>
      <w:r w:rsidR="00502F01" w:rsidRPr="00EB33FD">
        <w:rPr>
          <w:rFonts w:ascii="Arial" w:hAnsi="Arial" w:cs="Arial"/>
          <w:sz w:val="22"/>
          <w:szCs w:val="22"/>
        </w:rPr>
        <w:t>.</w:t>
      </w:r>
      <w:r w:rsidR="00120C65" w:rsidRPr="00EB33FD">
        <w:rPr>
          <w:rFonts w:ascii="Arial" w:hAnsi="Arial" w:cs="Arial"/>
          <w:sz w:val="22"/>
          <w:szCs w:val="22"/>
        </w:rPr>
        <w:t xml:space="preserve">  (Jury decision for the plaintiff</w:t>
      </w:r>
      <w:r w:rsidR="00502F01" w:rsidRPr="00EB33FD">
        <w:rPr>
          <w:rFonts w:ascii="Arial" w:hAnsi="Arial" w:cs="Arial"/>
          <w:sz w:val="22"/>
          <w:szCs w:val="22"/>
        </w:rPr>
        <w:t>.</w:t>
      </w:r>
      <w:r w:rsidR="00120C65" w:rsidRPr="00EB33FD">
        <w:rPr>
          <w:rFonts w:ascii="Arial" w:hAnsi="Arial" w:cs="Arial"/>
          <w:sz w:val="22"/>
          <w:szCs w:val="22"/>
        </w:rPr>
        <w:t>)</w:t>
      </w:r>
    </w:p>
    <w:p w:rsidR="009D05D9" w:rsidRPr="00EB33FD" w:rsidRDefault="009D05D9" w:rsidP="008963ED">
      <w:pPr>
        <w:pStyle w:val="BodyText"/>
        <w:numPr>
          <w:ilvl w:val="0"/>
          <w:numId w:val="32"/>
        </w:numPr>
        <w:tabs>
          <w:tab w:val="clear" w:pos="1800"/>
        </w:tabs>
        <w:spacing w:after="60"/>
        <w:ind w:left="450" w:right="-360" w:hanging="45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Mississi</w:t>
      </w:r>
      <w:r w:rsidR="002873CC" w:rsidRPr="00EB33FD">
        <w:rPr>
          <w:rFonts w:ascii="Arial" w:hAnsi="Arial" w:cs="Arial"/>
          <w:sz w:val="22"/>
          <w:szCs w:val="22"/>
        </w:rPr>
        <w:t xml:space="preserve">ppi v. City of Memphis </w:t>
      </w:r>
      <w:r w:rsidR="002873CC"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>Damages due to</w:t>
      </w:r>
      <w:r w:rsidR="00A374F1" w:rsidRPr="00EB33FD">
        <w:rPr>
          <w:rFonts w:ascii="Arial" w:hAnsi="Arial" w:cs="Arial"/>
          <w:sz w:val="22"/>
          <w:szCs w:val="22"/>
        </w:rPr>
        <w:t xml:space="preserve"> interstate</w:t>
      </w:r>
      <w:r w:rsidRPr="00EB33FD">
        <w:rPr>
          <w:rFonts w:ascii="Arial" w:hAnsi="Arial" w:cs="Arial"/>
          <w:sz w:val="22"/>
          <w:szCs w:val="22"/>
        </w:rPr>
        <w:t xml:space="preserve"> water </w:t>
      </w:r>
      <w:r w:rsidR="00D81168" w:rsidRPr="00EB33FD">
        <w:rPr>
          <w:rFonts w:ascii="Arial" w:hAnsi="Arial" w:cs="Arial"/>
          <w:sz w:val="22"/>
          <w:szCs w:val="22"/>
        </w:rPr>
        <w:t>supply</w:t>
      </w:r>
      <w:r w:rsidR="00396AA9" w:rsidRPr="00EB33FD">
        <w:rPr>
          <w:rFonts w:ascii="Arial" w:hAnsi="Arial" w:cs="Arial"/>
          <w:sz w:val="22"/>
          <w:szCs w:val="22"/>
        </w:rPr>
        <w:t xml:space="preserve"> </w:t>
      </w:r>
      <w:r w:rsidR="00A374F1" w:rsidRPr="00EB33FD">
        <w:rPr>
          <w:rFonts w:ascii="Arial" w:hAnsi="Arial" w:cs="Arial"/>
          <w:sz w:val="22"/>
          <w:szCs w:val="22"/>
        </w:rPr>
        <w:t>d</w:t>
      </w:r>
      <w:r w:rsidRPr="00EB33FD">
        <w:rPr>
          <w:rFonts w:ascii="Arial" w:hAnsi="Arial" w:cs="Arial"/>
          <w:sz w:val="22"/>
          <w:szCs w:val="22"/>
        </w:rPr>
        <w:t>ispute</w:t>
      </w:r>
      <w:r w:rsidR="00A82F5A" w:rsidRPr="00EB33FD">
        <w:rPr>
          <w:rFonts w:ascii="Arial" w:hAnsi="Arial" w:cs="Arial"/>
          <w:sz w:val="22"/>
          <w:szCs w:val="22"/>
        </w:rPr>
        <w:t>.</w:t>
      </w:r>
      <w:r w:rsidR="00401893" w:rsidRPr="00EB33FD">
        <w:rPr>
          <w:rFonts w:ascii="Arial" w:hAnsi="Arial" w:cs="Arial"/>
          <w:sz w:val="22"/>
          <w:szCs w:val="22"/>
        </w:rPr>
        <w:t xml:space="preserve"> (Case</w:t>
      </w:r>
      <w:r w:rsidR="00396AA9" w:rsidRPr="00EB33FD">
        <w:rPr>
          <w:rFonts w:ascii="Arial" w:hAnsi="Arial" w:cs="Arial"/>
          <w:sz w:val="22"/>
          <w:szCs w:val="22"/>
        </w:rPr>
        <w:t xml:space="preserve"> </w:t>
      </w:r>
      <w:r w:rsidR="00396AA9" w:rsidRPr="00EB33FD">
        <w:rPr>
          <w:rFonts w:ascii="Arial" w:hAnsi="Arial" w:cs="Arial"/>
          <w:i/>
          <w:sz w:val="22"/>
          <w:szCs w:val="22"/>
        </w:rPr>
        <w:t>sua sponte</w:t>
      </w:r>
      <w:r w:rsidR="00396AA9" w:rsidRPr="00EB33FD">
        <w:rPr>
          <w:rFonts w:ascii="Arial" w:hAnsi="Arial" w:cs="Arial"/>
          <w:sz w:val="22"/>
          <w:szCs w:val="22"/>
        </w:rPr>
        <w:t xml:space="preserve"> </w:t>
      </w:r>
      <w:r w:rsidR="00A374F1" w:rsidRPr="00EB33FD">
        <w:rPr>
          <w:rFonts w:ascii="Arial" w:hAnsi="Arial" w:cs="Arial"/>
          <w:sz w:val="22"/>
          <w:szCs w:val="22"/>
        </w:rPr>
        <w:t xml:space="preserve">removed to </w:t>
      </w:r>
      <w:r w:rsidR="00396AA9" w:rsidRPr="00EB33FD">
        <w:rPr>
          <w:rFonts w:ascii="Arial" w:hAnsi="Arial" w:cs="Arial"/>
          <w:sz w:val="22"/>
          <w:szCs w:val="22"/>
        </w:rPr>
        <w:t>SCOTUS; dismissed</w:t>
      </w:r>
      <w:r w:rsidR="00401893" w:rsidRPr="00EB33FD">
        <w:rPr>
          <w:rFonts w:ascii="Arial" w:hAnsi="Arial" w:cs="Arial"/>
          <w:sz w:val="22"/>
          <w:szCs w:val="22"/>
        </w:rPr>
        <w:t xml:space="preserve"> without prejudice.)</w:t>
      </w:r>
    </w:p>
    <w:p w:rsidR="00721568" w:rsidRPr="00EB33FD" w:rsidRDefault="00721568" w:rsidP="008963ED">
      <w:pPr>
        <w:pStyle w:val="BodyText"/>
        <w:numPr>
          <w:ilvl w:val="0"/>
          <w:numId w:val="32"/>
        </w:numPr>
        <w:tabs>
          <w:tab w:val="clear" w:pos="1800"/>
        </w:tabs>
        <w:spacing w:after="60"/>
        <w:ind w:left="450" w:right="-360" w:hanging="45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Michigan DNR v.  Four </w:t>
      </w:r>
      <w:proofErr w:type="spellStart"/>
      <w:r w:rsidRPr="00EB33FD">
        <w:rPr>
          <w:rFonts w:ascii="Arial" w:hAnsi="Arial" w:cs="Arial"/>
          <w:sz w:val="22"/>
          <w:szCs w:val="22"/>
        </w:rPr>
        <w:t>Winns</w:t>
      </w:r>
      <w:proofErr w:type="spellEnd"/>
      <w:r w:rsidRPr="00EB33FD">
        <w:rPr>
          <w:rFonts w:ascii="Arial" w:hAnsi="Arial" w:cs="Arial"/>
          <w:sz w:val="22"/>
          <w:szCs w:val="22"/>
        </w:rPr>
        <w:t xml:space="preserve">. </w:t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  <w:t>Groundwater Valuation.</w:t>
      </w:r>
    </w:p>
    <w:p w:rsidR="009D05D9" w:rsidRPr="00EB33FD" w:rsidRDefault="009D05D9" w:rsidP="008963ED">
      <w:pPr>
        <w:pStyle w:val="BodyText"/>
        <w:numPr>
          <w:ilvl w:val="0"/>
          <w:numId w:val="32"/>
        </w:numPr>
        <w:tabs>
          <w:tab w:val="clear" w:pos="1800"/>
        </w:tabs>
        <w:spacing w:after="60"/>
        <w:ind w:left="450" w:hanging="45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Village of Oxford v. Township of Oxford</w:t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  <w:t>Division of assets at dissolution</w:t>
      </w:r>
      <w:r w:rsidR="00A82F5A" w:rsidRPr="00EB33FD">
        <w:rPr>
          <w:rFonts w:ascii="Arial" w:hAnsi="Arial" w:cs="Arial"/>
          <w:sz w:val="22"/>
          <w:szCs w:val="22"/>
        </w:rPr>
        <w:t>.</w:t>
      </w:r>
    </w:p>
    <w:p w:rsidR="009D05D9" w:rsidRPr="00EB33FD" w:rsidRDefault="008963ED" w:rsidP="008963ED">
      <w:pPr>
        <w:pStyle w:val="BodyText"/>
        <w:numPr>
          <w:ilvl w:val="0"/>
          <w:numId w:val="32"/>
        </w:numPr>
        <w:tabs>
          <w:tab w:val="clear" w:pos="1800"/>
        </w:tabs>
        <w:spacing w:after="60"/>
        <w:ind w:left="450" w:hanging="45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Sumner County v. MGT Pipeline</w:t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</w:r>
      <w:r w:rsidR="009D05D9" w:rsidRPr="00EB33FD">
        <w:rPr>
          <w:rFonts w:ascii="Arial" w:hAnsi="Arial" w:cs="Arial"/>
          <w:sz w:val="22"/>
          <w:szCs w:val="22"/>
        </w:rPr>
        <w:t>Forecast and Need for Project</w:t>
      </w:r>
      <w:r w:rsidR="00A82F5A" w:rsidRPr="00EB33FD">
        <w:rPr>
          <w:rFonts w:ascii="Arial" w:hAnsi="Arial" w:cs="Arial"/>
          <w:sz w:val="22"/>
          <w:szCs w:val="22"/>
        </w:rPr>
        <w:t>.</w:t>
      </w:r>
    </w:p>
    <w:p w:rsidR="009D05D9" w:rsidRPr="00EB33FD" w:rsidRDefault="009D05D9" w:rsidP="008963ED">
      <w:pPr>
        <w:pStyle w:val="BodyText"/>
        <w:numPr>
          <w:ilvl w:val="0"/>
          <w:numId w:val="32"/>
        </w:numPr>
        <w:tabs>
          <w:tab w:val="clear" w:pos="1800"/>
        </w:tabs>
        <w:spacing w:after="60"/>
        <w:ind w:left="450" w:right="-360" w:hanging="450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Piney River Friends v. Bon Aqua Water District</w:t>
      </w:r>
      <w:r w:rsidRPr="00EB33FD">
        <w:rPr>
          <w:rFonts w:ascii="Arial" w:hAnsi="Arial" w:cs="Arial"/>
          <w:sz w:val="22"/>
          <w:szCs w:val="22"/>
        </w:rPr>
        <w:tab/>
        <w:t>Forecast and valuation of Water Project</w:t>
      </w:r>
      <w:r w:rsidR="00A82F5A" w:rsidRPr="00EB33FD">
        <w:rPr>
          <w:rFonts w:ascii="Arial" w:hAnsi="Arial" w:cs="Arial"/>
          <w:sz w:val="22"/>
          <w:szCs w:val="22"/>
        </w:rPr>
        <w:t>.</w:t>
      </w:r>
    </w:p>
    <w:p w:rsidR="009D05D9" w:rsidRPr="00EB33FD" w:rsidRDefault="009D05D9" w:rsidP="008963ED">
      <w:pPr>
        <w:pStyle w:val="BodyText"/>
        <w:numPr>
          <w:ilvl w:val="0"/>
          <w:numId w:val="31"/>
        </w:numPr>
        <w:tabs>
          <w:tab w:val="clear" w:pos="720"/>
          <w:tab w:val="num" w:pos="540"/>
        </w:tabs>
        <w:spacing w:after="60"/>
        <w:ind w:left="450" w:hanging="45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Alpine Valley Ski Area v. Oakland County </w:t>
      </w:r>
      <w:r w:rsidRPr="00EB33FD">
        <w:rPr>
          <w:rFonts w:ascii="Arial" w:hAnsi="Arial" w:cs="Arial"/>
          <w:sz w:val="22"/>
          <w:szCs w:val="22"/>
        </w:rPr>
        <w:tab/>
        <w:t>Tax valuation</w:t>
      </w:r>
      <w:r w:rsidR="00A82F5A" w:rsidRPr="00EB33FD">
        <w:rPr>
          <w:rFonts w:ascii="Arial" w:hAnsi="Arial" w:cs="Arial"/>
          <w:sz w:val="22"/>
          <w:szCs w:val="22"/>
        </w:rPr>
        <w:t>.</w:t>
      </w:r>
    </w:p>
    <w:p w:rsidR="009D05D9" w:rsidRPr="00EB33FD" w:rsidRDefault="009D05D9" w:rsidP="008963ED">
      <w:pPr>
        <w:widowControl w:val="0"/>
        <w:numPr>
          <w:ilvl w:val="0"/>
          <w:numId w:val="31"/>
        </w:numPr>
        <w:tabs>
          <w:tab w:val="clear" w:pos="720"/>
          <w:tab w:val="left" w:pos="-1440"/>
          <w:tab w:val="num" w:pos="540"/>
        </w:tabs>
        <w:spacing w:after="60"/>
        <w:ind w:left="450" w:hanging="450"/>
        <w:jc w:val="both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Aguilar, et al v. Atlantic Richfield, et al. </w:t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  <w:t>Antitrust</w:t>
      </w:r>
      <w:r w:rsidR="00A82F5A" w:rsidRPr="00EB33FD">
        <w:rPr>
          <w:rFonts w:ascii="Arial" w:hAnsi="Arial" w:cs="Arial"/>
          <w:sz w:val="22"/>
          <w:szCs w:val="22"/>
        </w:rPr>
        <w:t>.</w:t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</w:r>
    </w:p>
    <w:p w:rsidR="009D05D9" w:rsidRPr="00EB33FD" w:rsidRDefault="009D05D9" w:rsidP="008963ED">
      <w:pPr>
        <w:widowControl w:val="0"/>
        <w:numPr>
          <w:ilvl w:val="0"/>
          <w:numId w:val="31"/>
        </w:numPr>
        <w:tabs>
          <w:tab w:val="clear" w:pos="720"/>
          <w:tab w:val="left" w:pos="-1440"/>
          <w:tab w:val="num" w:pos="540"/>
        </w:tabs>
        <w:spacing w:after="60"/>
        <w:ind w:left="450" w:hanging="450"/>
        <w:jc w:val="both"/>
        <w:rPr>
          <w:rFonts w:ascii="Arial" w:hAnsi="Arial" w:cs="Arial"/>
          <w:sz w:val="22"/>
          <w:szCs w:val="22"/>
        </w:rPr>
      </w:pPr>
      <w:proofErr w:type="spellStart"/>
      <w:r w:rsidRPr="00EB33FD">
        <w:rPr>
          <w:rFonts w:ascii="Arial" w:hAnsi="Arial" w:cs="Arial"/>
          <w:sz w:val="22"/>
          <w:szCs w:val="22"/>
        </w:rPr>
        <w:t>Arge</w:t>
      </w:r>
      <w:proofErr w:type="spellEnd"/>
      <w:r w:rsidRPr="00EB33FD">
        <w:rPr>
          <w:rFonts w:ascii="Arial" w:hAnsi="Arial" w:cs="Arial"/>
          <w:sz w:val="22"/>
          <w:szCs w:val="22"/>
        </w:rPr>
        <w:t xml:space="preserve"> v. Glendale Federal S&amp;L. </w:t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  <w:t>Damages</w:t>
      </w:r>
      <w:r w:rsidR="00A82F5A" w:rsidRPr="00EB33FD">
        <w:rPr>
          <w:rFonts w:ascii="Arial" w:hAnsi="Arial" w:cs="Arial"/>
          <w:sz w:val="22"/>
          <w:szCs w:val="22"/>
        </w:rPr>
        <w:t>.</w:t>
      </w:r>
      <w:r w:rsidRPr="00EB33FD">
        <w:rPr>
          <w:rFonts w:ascii="Arial" w:hAnsi="Arial" w:cs="Arial"/>
          <w:sz w:val="22"/>
          <w:szCs w:val="22"/>
        </w:rPr>
        <w:tab/>
      </w:r>
    </w:p>
    <w:p w:rsidR="009D05D9" w:rsidRPr="00EB33FD" w:rsidRDefault="009D05D9" w:rsidP="008963ED">
      <w:pPr>
        <w:widowControl w:val="0"/>
        <w:numPr>
          <w:ilvl w:val="0"/>
          <w:numId w:val="31"/>
        </w:numPr>
        <w:tabs>
          <w:tab w:val="clear" w:pos="720"/>
          <w:tab w:val="left" w:pos="-1440"/>
          <w:tab w:val="num" w:pos="540"/>
        </w:tabs>
        <w:spacing w:after="60"/>
        <w:ind w:left="450" w:right="-450" w:hanging="450"/>
        <w:jc w:val="both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Equitable Real Estate v. C &amp; R Clothiers. </w:t>
      </w:r>
      <w:r w:rsidRPr="00EB33FD">
        <w:rPr>
          <w:rFonts w:ascii="Arial" w:hAnsi="Arial" w:cs="Arial"/>
          <w:sz w:val="22"/>
          <w:szCs w:val="22"/>
        </w:rPr>
        <w:tab/>
        <w:t>Liability/damages/severance damages</w:t>
      </w:r>
      <w:r w:rsidR="00A82F5A" w:rsidRPr="00EB33FD">
        <w:rPr>
          <w:rFonts w:ascii="Arial" w:hAnsi="Arial" w:cs="Arial"/>
          <w:sz w:val="22"/>
          <w:szCs w:val="22"/>
        </w:rPr>
        <w:t>.</w:t>
      </w:r>
    </w:p>
    <w:p w:rsidR="009D05D9" w:rsidRPr="00EB33FD" w:rsidRDefault="009D05D9" w:rsidP="008963ED">
      <w:pPr>
        <w:widowControl w:val="0"/>
        <w:numPr>
          <w:ilvl w:val="0"/>
          <w:numId w:val="31"/>
        </w:numPr>
        <w:tabs>
          <w:tab w:val="clear" w:pos="720"/>
          <w:tab w:val="left" w:pos="-1440"/>
          <w:tab w:val="num" w:pos="540"/>
        </w:tabs>
        <w:spacing w:after="60"/>
        <w:ind w:left="450" w:hanging="450"/>
        <w:jc w:val="both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Greenhill Petroleum v. Mike Hicks Tools </w:t>
      </w:r>
      <w:r w:rsidRPr="00EB33FD">
        <w:rPr>
          <w:rFonts w:ascii="Arial" w:hAnsi="Arial" w:cs="Arial"/>
          <w:sz w:val="22"/>
          <w:szCs w:val="22"/>
        </w:rPr>
        <w:tab/>
        <w:t>Environmental Damages</w:t>
      </w:r>
      <w:r w:rsidR="00A82F5A" w:rsidRPr="00EB33FD">
        <w:rPr>
          <w:rFonts w:ascii="Arial" w:hAnsi="Arial" w:cs="Arial"/>
          <w:sz w:val="22"/>
          <w:szCs w:val="22"/>
        </w:rPr>
        <w:t>.</w:t>
      </w:r>
    </w:p>
    <w:p w:rsidR="009D05D9" w:rsidRPr="00EB33FD" w:rsidRDefault="009D05D9" w:rsidP="008963ED">
      <w:pPr>
        <w:widowControl w:val="0"/>
        <w:numPr>
          <w:ilvl w:val="0"/>
          <w:numId w:val="31"/>
        </w:numPr>
        <w:tabs>
          <w:tab w:val="clear" w:pos="720"/>
          <w:tab w:val="left" w:pos="-1440"/>
          <w:tab w:val="num" w:pos="540"/>
        </w:tabs>
        <w:spacing w:after="60"/>
        <w:ind w:left="450" w:hanging="450"/>
        <w:jc w:val="both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J.R. </w:t>
      </w:r>
      <w:proofErr w:type="spellStart"/>
      <w:r w:rsidRPr="00EB33FD">
        <w:rPr>
          <w:rFonts w:ascii="Arial" w:hAnsi="Arial" w:cs="Arial"/>
          <w:sz w:val="22"/>
          <w:szCs w:val="22"/>
        </w:rPr>
        <w:t>Muggs</w:t>
      </w:r>
      <w:proofErr w:type="spellEnd"/>
      <w:r w:rsidRPr="00EB33FD">
        <w:rPr>
          <w:rFonts w:ascii="Arial" w:hAnsi="Arial" w:cs="Arial"/>
          <w:sz w:val="22"/>
          <w:szCs w:val="22"/>
        </w:rPr>
        <w:t xml:space="preserve"> v. </w:t>
      </w:r>
      <w:proofErr w:type="spellStart"/>
      <w:r w:rsidRPr="00EB33FD">
        <w:rPr>
          <w:rFonts w:ascii="Arial" w:hAnsi="Arial" w:cs="Arial"/>
          <w:sz w:val="22"/>
          <w:szCs w:val="22"/>
        </w:rPr>
        <w:t>Hammad</w:t>
      </w:r>
      <w:proofErr w:type="spellEnd"/>
      <w:r w:rsidRPr="00EB33FD">
        <w:rPr>
          <w:rFonts w:ascii="Arial" w:hAnsi="Arial" w:cs="Arial"/>
          <w:sz w:val="22"/>
          <w:szCs w:val="22"/>
        </w:rPr>
        <w:t xml:space="preserve">. </w:t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  <w:t>Liability/damages</w:t>
      </w:r>
      <w:r w:rsidR="00A82F5A" w:rsidRPr="00EB33FD">
        <w:rPr>
          <w:rFonts w:ascii="Arial" w:hAnsi="Arial" w:cs="Arial"/>
          <w:sz w:val="22"/>
          <w:szCs w:val="22"/>
        </w:rPr>
        <w:t>.</w:t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</w:r>
    </w:p>
    <w:p w:rsidR="009D05D9" w:rsidRPr="00EB33FD" w:rsidRDefault="009D05D9" w:rsidP="008963ED">
      <w:pPr>
        <w:widowControl w:val="0"/>
        <w:numPr>
          <w:ilvl w:val="0"/>
          <w:numId w:val="31"/>
        </w:numPr>
        <w:tabs>
          <w:tab w:val="clear" w:pos="720"/>
        </w:tabs>
        <w:spacing w:after="60"/>
        <w:ind w:left="450" w:hanging="45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U. S.</w:t>
      </w:r>
      <w:r w:rsidR="002873CC" w:rsidRPr="00EB33FD">
        <w:rPr>
          <w:rFonts w:ascii="Arial" w:hAnsi="Arial" w:cs="Arial"/>
          <w:sz w:val="22"/>
          <w:szCs w:val="22"/>
        </w:rPr>
        <w:t xml:space="preserve"> v. (various) </w:t>
      </w:r>
      <w:r w:rsidR="002873CC" w:rsidRPr="00EB33FD">
        <w:rPr>
          <w:rFonts w:ascii="Arial" w:hAnsi="Arial" w:cs="Arial"/>
          <w:sz w:val="22"/>
          <w:szCs w:val="22"/>
        </w:rPr>
        <w:tab/>
      </w:r>
      <w:r w:rsidR="002873CC" w:rsidRPr="00EB33FD">
        <w:rPr>
          <w:rFonts w:ascii="Arial" w:hAnsi="Arial" w:cs="Arial"/>
          <w:sz w:val="22"/>
          <w:szCs w:val="22"/>
        </w:rPr>
        <w:tab/>
      </w:r>
      <w:r w:rsidR="002873CC" w:rsidRPr="00EB33FD">
        <w:rPr>
          <w:rFonts w:ascii="Arial" w:hAnsi="Arial" w:cs="Arial"/>
          <w:sz w:val="22"/>
          <w:szCs w:val="22"/>
        </w:rPr>
        <w:tab/>
      </w:r>
      <w:r w:rsidR="002873CC" w:rsidRPr="00EB33FD">
        <w:rPr>
          <w:rFonts w:ascii="Arial" w:hAnsi="Arial" w:cs="Arial"/>
          <w:sz w:val="22"/>
          <w:szCs w:val="22"/>
        </w:rPr>
        <w:tab/>
      </w:r>
      <w:r w:rsidR="002873CC" w:rsidRPr="00EB33FD">
        <w:rPr>
          <w:rFonts w:ascii="Arial" w:hAnsi="Arial" w:cs="Arial"/>
          <w:sz w:val="22"/>
          <w:szCs w:val="22"/>
        </w:rPr>
        <w:tab/>
        <w:t>Natural Resource</w:t>
      </w:r>
      <w:r w:rsidR="00120C65" w:rsidRPr="00EB33FD">
        <w:rPr>
          <w:rFonts w:ascii="Arial" w:hAnsi="Arial" w:cs="Arial"/>
          <w:sz w:val="22"/>
          <w:szCs w:val="22"/>
        </w:rPr>
        <w:t xml:space="preserve"> </w:t>
      </w:r>
      <w:r w:rsidRPr="00EB33FD">
        <w:rPr>
          <w:rFonts w:ascii="Arial" w:hAnsi="Arial" w:cs="Arial"/>
          <w:sz w:val="22"/>
          <w:szCs w:val="22"/>
        </w:rPr>
        <w:t>Damages</w:t>
      </w:r>
      <w:r w:rsidR="00A82F5A" w:rsidRPr="00EB33FD">
        <w:rPr>
          <w:rFonts w:ascii="Arial" w:hAnsi="Arial" w:cs="Arial"/>
          <w:sz w:val="22"/>
          <w:szCs w:val="22"/>
        </w:rPr>
        <w:t>.</w:t>
      </w:r>
      <w:r w:rsidRPr="00EB33FD">
        <w:rPr>
          <w:rFonts w:ascii="Arial" w:hAnsi="Arial" w:cs="Arial"/>
          <w:sz w:val="22"/>
          <w:szCs w:val="22"/>
        </w:rPr>
        <w:t xml:space="preserve"> </w:t>
      </w:r>
    </w:p>
    <w:p w:rsidR="009D05D9" w:rsidRPr="00EB33FD" w:rsidRDefault="009D05D9" w:rsidP="008963ED">
      <w:pPr>
        <w:widowControl w:val="0"/>
        <w:numPr>
          <w:ilvl w:val="0"/>
          <w:numId w:val="31"/>
        </w:numPr>
        <w:tabs>
          <w:tab w:val="clear" w:pos="720"/>
        </w:tabs>
        <w:spacing w:after="60"/>
        <w:ind w:left="450" w:hanging="45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Visiona</w:t>
      </w:r>
      <w:r w:rsidR="008963ED" w:rsidRPr="00EB33FD">
        <w:rPr>
          <w:rFonts w:ascii="Arial" w:hAnsi="Arial" w:cs="Arial"/>
          <w:sz w:val="22"/>
          <w:szCs w:val="22"/>
        </w:rPr>
        <w:t xml:space="preserve">ry Games v. Kemper Insurance. </w:t>
      </w:r>
      <w:r w:rsidR="008963ED"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>Start-up lost profits</w:t>
      </w:r>
      <w:r w:rsidR="00A82F5A" w:rsidRPr="00EB33FD">
        <w:rPr>
          <w:rFonts w:ascii="Arial" w:hAnsi="Arial" w:cs="Arial"/>
          <w:sz w:val="22"/>
          <w:szCs w:val="22"/>
        </w:rPr>
        <w:t>.</w:t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</w:r>
      <w:r w:rsidRPr="00EB33FD">
        <w:rPr>
          <w:rFonts w:ascii="Arial" w:hAnsi="Arial" w:cs="Arial"/>
          <w:sz w:val="22"/>
          <w:szCs w:val="22"/>
        </w:rPr>
        <w:tab/>
      </w:r>
    </w:p>
    <w:p w:rsidR="00B81900" w:rsidRDefault="00B81900" w:rsidP="00D81168">
      <w:pPr>
        <w:keepNext/>
        <w:keepLines/>
        <w:tabs>
          <w:tab w:val="left" w:pos="-720"/>
          <w:tab w:val="left" w:pos="0"/>
          <w:tab w:val="left" w:pos="490"/>
          <w:tab w:val="left" w:pos="1440"/>
        </w:tabs>
        <w:suppressAutoHyphens/>
        <w:spacing w:after="1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:rsidR="0098537B" w:rsidRPr="00EB33FD" w:rsidRDefault="00CB2CD1" w:rsidP="00D81168">
      <w:pPr>
        <w:keepNext/>
        <w:keepLines/>
        <w:tabs>
          <w:tab w:val="left" w:pos="-720"/>
          <w:tab w:val="left" w:pos="0"/>
          <w:tab w:val="left" w:pos="490"/>
          <w:tab w:val="left" w:pos="1440"/>
        </w:tabs>
        <w:suppressAutoHyphens/>
        <w:spacing w:after="120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EB33FD">
        <w:rPr>
          <w:rFonts w:ascii="Arial" w:hAnsi="Arial" w:cs="Arial"/>
          <w:b/>
          <w:spacing w:val="-2"/>
          <w:sz w:val="22"/>
          <w:szCs w:val="22"/>
          <w:u w:val="single"/>
        </w:rPr>
        <w:t>Education:</w:t>
      </w:r>
    </w:p>
    <w:p w:rsidR="00CB2CD1" w:rsidRPr="00EB33FD" w:rsidRDefault="00CB2CD1" w:rsidP="00CB2CD1">
      <w:pPr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Ph.D., Resource and Applied Economics, University of Minnesota </w:t>
      </w:r>
    </w:p>
    <w:p w:rsidR="00CB2CD1" w:rsidRPr="00EB33FD" w:rsidRDefault="00CB2CD1" w:rsidP="00CB2CD1">
      <w:pPr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M.S., Agricultural Economics, University of Minnesota</w:t>
      </w:r>
    </w:p>
    <w:p w:rsidR="00CB2CD1" w:rsidRPr="00EB33FD" w:rsidRDefault="00CB2CD1" w:rsidP="00D81168">
      <w:pPr>
        <w:spacing w:after="120"/>
        <w:rPr>
          <w:rFonts w:ascii="Arial" w:hAnsi="Arial" w:cs="Arial"/>
          <w:spacing w:val="-2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>B.S., English/Journalism, Spring Hill College</w:t>
      </w:r>
    </w:p>
    <w:p w:rsidR="00CB2CD1" w:rsidRPr="00EB33FD" w:rsidRDefault="00CB2CD1" w:rsidP="00D81168">
      <w:pPr>
        <w:keepNext/>
        <w:keepLines/>
        <w:tabs>
          <w:tab w:val="left" w:pos="-720"/>
          <w:tab w:val="left" w:pos="0"/>
          <w:tab w:val="left" w:pos="490"/>
          <w:tab w:val="left" w:pos="14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b/>
          <w:sz w:val="22"/>
          <w:szCs w:val="22"/>
          <w:u w:val="single"/>
        </w:rPr>
        <w:lastRenderedPageBreak/>
        <w:t>Professional Activities</w:t>
      </w:r>
      <w:r w:rsidRPr="00EB33FD">
        <w:rPr>
          <w:rFonts w:ascii="Arial" w:hAnsi="Arial" w:cs="Arial"/>
          <w:b/>
          <w:sz w:val="22"/>
          <w:szCs w:val="22"/>
        </w:rPr>
        <w:t>:</w:t>
      </w:r>
    </w:p>
    <w:p w:rsidR="00721568" w:rsidRPr="00EB33FD" w:rsidRDefault="00CB2CD1" w:rsidP="00CB2CD1">
      <w:pPr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Past President of San Francisco Chapter of National Association of Business Economists; American Economics Association; </w:t>
      </w:r>
    </w:p>
    <w:p w:rsidR="00721568" w:rsidRPr="00EB33FD" w:rsidRDefault="00CB2CD1" w:rsidP="00CB2CD1">
      <w:pPr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American Agricultural Economics Association; </w:t>
      </w:r>
    </w:p>
    <w:p w:rsidR="00FD07B2" w:rsidRPr="00EB33FD" w:rsidRDefault="00CB2CD1" w:rsidP="00CB2CD1">
      <w:pPr>
        <w:rPr>
          <w:rFonts w:ascii="Arial" w:hAnsi="Arial" w:cs="Arial"/>
          <w:sz w:val="22"/>
          <w:szCs w:val="22"/>
        </w:rPr>
      </w:pPr>
      <w:proofErr w:type="gramStart"/>
      <w:r w:rsidRPr="00EB33FD">
        <w:rPr>
          <w:rFonts w:ascii="Arial" w:hAnsi="Arial" w:cs="Arial"/>
          <w:sz w:val="22"/>
          <w:szCs w:val="22"/>
        </w:rPr>
        <w:t>Association of Environmental and Resource Economics.</w:t>
      </w:r>
      <w:proofErr w:type="gramEnd"/>
      <w:r w:rsidRPr="00EB33FD">
        <w:rPr>
          <w:rFonts w:ascii="Arial" w:hAnsi="Arial" w:cs="Arial"/>
          <w:sz w:val="22"/>
          <w:szCs w:val="22"/>
        </w:rPr>
        <w:t xml:space="preserve"> </w:t>
      </w:r>
    </w:p>
    <w:p w:rsidR="001F5C01" w:rsidRPr="00EB33FD" w:rsidRDefault="00CB2CD1" w:rsidP="00CB2CD1">
      <w:pPr>
        <w:rPr>
          <w:rFonts w:ascii="Arial" w:hAnsi="Arial" w:cs="Arial"/>
          <w:sz w:val="22"/>
          <w:szCs w:val="22"/>
        </w:rPr>
      </w:pPr>
      <w:proofErr w:type="gramStart"/>
      <w:r w:rsidRPr="00EB33FD">
        <w:rPr>
          <w:rFonts w:ascii="Arial" w:hAnsi="Arial" w:cs="Arial"/>
          <w:sz w:val="22"/>
          <w:szCs w:val="22"/>
        </w:rPr>
        <w:t>Treasurer, TN American Water Resources Association</w:t>
      </w:r>
      <w:r w:rsidR="001F5C01" w:rsidRPr="00EB33FD">
        <w:rPr>
          <w:rFonts w:ascii="Arial" w:hAnsi="Arial" w:cs="Arial"/>
          <w:sz w:val="22"/>
          <w:szCs w:val="22"/>
        </w:rPr>
        <w:t>, 2002</w:t>
      </w:r>
      <w:r w:rsidRPr="00EB33FD">
        <w:rPr>
          <w:rFonts w:ascii="Arial" w:hAnsi="Arial" w:cs="Arial"/>
          <w:sz w:val="22"/>
          <w:szCs w:val="22"/>
        </w:rPr>
        <w:t>.</w:t>
      </w:r>
      <w:proofErr w:type="gramEnd"/>
      <w:r w:rsidRPr="00EB33FD">
        <w:rPr>
          <w:rFonts w:ascii="Arial" w:hAnsi="Arial" w:cs="Arial"/>
          <w:sz w:val="22"/>
          <w:szCs w:val="22"/>
        </w:rPr>
        <w:t xml:space="preserve"> </w:t>
      </w:r>
    </w:p>
    <w:p w:rsidR="00CB2CD1" w:rsidRPr="00EB33FD" w:rsidRDefault="00120C65" w:rsidP="00CB2CD1">
      <w:pPr>
        <w:rPr>
          <w:rFonts w:ascii="Arial" w:hAnsi="Arial" w:cs="Arial"/>
          <w:sz w:val="22"/>
          <w:szCs w:val="22"/>
        </w:rPr>
      </w:pPr>
      <w:proofErr w:type="gramStart"/>
      <w:r w:rsidRPr="00EB33FD">
        <w:rPr>
          <w:rFonts w:ascii="Arial" w:hAnsi="Arial" w:cs="Arial"/>
          <w:sz w:val="22"/>
          <w:szCs w:val="22"/>
        </w:rPr>
        <w:t xml:space="preserve">Past </w:t>
      </w:r>
      <w:r w:rsidR="00CB2CD1" w:rsidRPr="00EB33FD">
        <w:rPr>
          <w:rFonts w:ascii="Arial" w:hAnsi="Arial" w:cs="Arial"/>
          <w:sz w:val="22"/>
          <w:szCs w:val="22"/>
        </w:rPr>
        <w:t>Board of Directors, Maury County</w:t>
      </w:r>
      <w:r w:rsidR="002873CC" w:rsidRPr="00EB33FD">
        <w:rPr>
          <w:rFonts w:ascii="Arial" w:hAnsi="Arial" w:cs="Arial"/>
          <w:sz w:val="22"/>
          <w:szCs w:val="22"/>
        </w:rPr>
        <w:t xml:space="preserve"> TN</w:t>
      </w:r>
      <w:r w:rsidR="00CB2CD1" w:rsidRPr="00EB33FD">
        <w:rPr>
          <w:rFonts w:ascii="Arial" w:hAnsi="Arial" w:cs="Arial"/>
          <w:sz w:val="22"/>
          <w:szCs w:val="22"/>
        </w:rPr>
        <w:t xml:space="preserve"> Vision 20/20.</w:t>
      </w:r>
      <w:proofErr w:type="gramEnd"/>
    </w:p>
    <w:p w:rsidR="00DA7238" w:rsidRPr="00EB33FD" w:rsidRDefault="00120C65" w:rsidP="00CB2CD1">
      <w:pPr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Past </w:t>
      </w:r>
      <w:r w:rsidR="00DA7238" w:rsidRPr="00EB33FD">
        <w:rPr>
          <w:rFonts w:ascii="Arial" w:hAnsi="Arial" w:cs="Arial"/>
          <w:sz w:val="22"/>
          <w:szCs w:val="22"/>
        </w:rPr>
        <w:t xml:space="preserve">Board of Trustees, Sam Davis Museum, </w:t>
      </w:r>
      <w:proofErr w:type="spellStart"/>
      <w:r w:rsidR="00396AA9" w:rsidRPr="00EB33FD">
        <w:rPr>
          <w:rFonts w:ascii="Arial" w:hAnsi="Arial" w:cs="Arial"/>
          <w:sz w:val="22"/>
          <w:szCs w:val="22"/>
        </w:rPr>
        <w:t>Smyrna</w:t>
      </w:r>
      <w:proofErr w:type="gramStart"/>
      <w:r w:rsidR="00396AA9" w:rsidRPr="00EB33FD">
        <w:rPr>
          <w:rFonts w:ascii="Arial" w:hAnsi="Arial" w:cs="Arial"/>
          <w:sz w:val="22"/>
          <w:szCs w:val="22"/>
        </w:rPr>
        <w:t>,</w:t>
      </w:r>
      <w:r w:rsidR="00DA7238" w:rsidRPr="00EB33FD">
        <w:rPr>
          <w:rFonts w:ascii="Arial" w:hAnsi="Arial" w:cs="Arial"/>
          <w:sz w:val="22"/>
          <w:szCs w:val="22"/>
        </w:rPr>
        <w:t>TN</w:t>
      </w:r>
      <w:proofErr w:type="spellEnd"/>
      <w:proofErr w:type="gramEnd"/>
      <w:r w:rsidR="00DA7238" w:rsidRPr="00EB33FD">
        <w:rPr>
          <w:rFonts w:ascii="Arial" w:hAnsi="Arial" w:cs="Arial"/>
          <w:sz w:val="22"/>
          <w:szCs w:val="22"/>
        </w:rPr>
        <w:t>.</w:t>
      </w:r>
    </w:p>
    <w:p w:rsidR="00A82F5A" w:rsidRPr="00EB33FD" w:rsidRDefault="00A82F5A" w:rsidP="00C877D4">
      <w:pPr>
        <w:rPr>
          <w:rFonts w:ascii="Arial" w:hAnsi="Arial" w:cs="Arial"/>
          <w:sz w:val="22"/>
          <w:szCs w:val="22"/>
        </w:rPr>
      </w:pPr>
      <w:proofErr w:type="gramStart"/>
      <w:r w:rsidRPr="00EB33FD">
        <w:rPr>
          <w:rFonts w:ascii="Arial" w:hAnsi="Arial" w:cs="Arial"/>
          <w:sz w:val="22"/>
          <w:szCs w:val="22"/>
        </w:rPr>
        <w:t>Kiwanis International.</w:t>
      </w:r>
      <w:proofErr w:type="gramEnd"/>
      <w:r w:rsidR="00C877D4" w:rsidRPr="00EB33FD">
        <w:rPr>
          <w:rFonts w:ascii="Arial" w:hAnsi="Arial" w:cs="Arial"/>
          <w:sz w:val="22"/>
          <w:szCs w:val="22"/>
        </w:rPr>
        <w:t xml:space="preserve"> (Past Member)</w:t>
      </w:r>
    </w:p>
    <w:p w:rsidR="00C877D4" w:rsidRPr="00EB33FD" w:rsidRDefault="00C877D4" w:rsidP="00D81168">
      <w:pPr>
        <w:spacing w:after="120"/>
        <w:rPr>
          <w:rFonts w:ascii="Arial" w:hAnsi="Arial" w:cs="Arial"/>
          <w:sz w:val="22"/>
          <w:szCs w:val="22"/>
        </w:rPr>
      </w:pPr>
      <w:proofErr w:type="gramStart"/>
      <w:r w:rsidRPr="00EB33FD">
        <w:rPr>
          <w:rFonts w:ascii="Arial" w:hAnsi="Arial" w:cs="Arial"/>
          <w:sz w:val="22"/>
          <w:szCs w:val="22"/>
        </w:rPr>
        <w:t>Rotary Franklin, TN.</w:t>
      </w:r>
      <w:proofErr w:type="gramEnd"/>
    </w:p>
    <w:p w:rsidR="00CB2CD1" w:rsidRPr="00EB33FD" w:rsidRDefault="00CB2CD1" w:rsidP="00D81168">
      <w:pPr>
        <w:spacing w:after="120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b/>
          <w:sz w:val="22"/>
          <w:szCs w:val="22"/>
          <w:u w:val="single"/>
        </w:rPr>
        <w:t>Honors:</w:t>
      </w:r>
    </w:p>
    <w:p w:rsidR="00685E23" w:rsidRPr="00EB33FD" w:rsidRDefault="00CB2CD1" w:rsidP="00685E23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EB33FD">
        <w:rPr>
          <w:rFonts w:ascii="Arial" w:hAnsi="Arial" w:cs="Arial"/>
          <w:sz w:val="22"/>
          <w:szCs w:val="22"/>
        </w:rPr>
        <w:t xml:space="preserve">Past-member Economic Advisory Council of California Chamber of Commerce. </w:t>
      </w:r>
    </w:p>
    <w:p w:rsidR="00CB2CD1" w:rsidRPr="00EB33FD" w:rsidRDefault="00CB2CD1" w:rsidP="00E00500">
      <w:pPr>
        <w:pStyle w:val="BodyText"/>
        <w:spacing w:after="120"/>
        <w:jc w:val="left"/>
        <w:rPr>
          <w:rFonts w:ascii="Arial" w:hAnsi="Arial" w:cs="Arial"/>
          <w:sz w:val="22"/>
          <w:szCs w:val="22"/>
        </w:rPr>
      </w:pPr>
      <w:proofErr w:type="gramStart"/>
      <w:r w:rsidRPr="00EB33FD">
        <w:rPr>
          <w:rFonts w:ascii="Arial" w:hAnsi="Arial" w:cs="Arial"/>
          <w:sz w:val="22"/>
          <w:szCs w:val="22"/>
        </w:rPr>
        <w:t>Award for Professional Excellence for Quality of Published Research, 1979; (with others) American Agricultural Economics Assoc.</w:t>
      </w:r>
      <w:proofErr w:type="gramEnd"/>
      <w:r w:rsidRPr="00EB33FD">
        <w:rPr>
          <w:rFonts w:ascii="Arial" w:hAnsi="Arial" w:cs="Arial"/>
          <w:sz w:val="22"/>
          <w:szCs w:val="22"/>
        </w:rPr>
        <w:t xml:space="preserve"> </w:t>
      </w:r>
    </w:p>
    <w:p w:rsidR="00CB2CD1" w:rsidRPr="00EB33FD" w:rsidRDefault="00CB2CD1" w:rsidP="00CB2CD1">
      <w:pPr>
        <w:pStyle w:val="BodyText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EB33FD">
        <w:rPr>
          <w:rFonts w:ascii="Arial" w:hAnsi="Arial" w:cs="Arial"/>
          <w:b/>
          <w:sz w:val="22"/>
          <w:szCs w:val="22"/>
          <w:u w:val="single"/>
        </w:rPr>
        <w:t>Web Site:</w:t>
      </w:r>
    </w:p>
    <w:p w:rsidR="00CB2CD1" w:rsidRPr="00EB33FD" w:rsidRDefault="00784FDD" w:rsidP="00CB2CD1">
      <w:pPr>
        <w:pStyle w:val="BodyText"/>
        <w:jc w:val="left"/>
        <w:rPr>
          <w:rFonts w:ascii="Arial" w:hAnsi="Arial" w:cs="Arial"/>
          <w:sz w:val="22"/>
          <w:szCs w:val="22"/>
        </w:rPr>
      </w:pPr>
      <w:hyperlink r:id="rId10" w:history="1">
        <w:r w:rsidR="00CB2CD1" w:rsidRPr="00EB33FD">
          <w:rPr>
            <w:rStyle w:val="Hyperlink"/>
            <w:rFonts w:ascii="Arial" w:hAnsi="Arial" w:cs="Arial"/>
            <w:sz w:val="22"/>
            <w:szCs w:val="22"/>
          </w:rPr>
          <w:t>www.energyandwatereconomics.com</w:t>
        </w:r>
      </w:hyperlink>
    </w:p>
    <w:p w:rsidR="00CB2CD1" w:rsidRPr="00EB33FD" w:rsidRDefault="00CB2CD1" w:rsidP="00022FBD">
      <w:pPr>
        <w:pStyle w:val="BodyText"/>
        <w:jc w:val="left"/>
        <w:rPr>
          <w:rFonts w:ascii="Arial" w:hAnsi="Arial" w:cs="Arial"/>
          <w:spacing w:val="-2"/>
          <w:sz w:val="22"/>
          <w:szCs w:val="22"/>
        </w:rPr>
      </w:pPr>
      <w:proofErr w:type="gramStart"/>
      <w:r w:rsidRPr="00EB33FD">
        <w:rPr>
          <w:rFonts w:ascii="Arial" w:hAnsi="Arial" w:cs="Arial"/>
          <w:sz w:val="22"/>
          <w:szCs w:val="22"/>
        </w:rPr>
        <w:t>References Available on Request.</w:t>
      </w:r>
      <w:proofErr w:type="gramEnd"/>
    </w:p>
    <w:sectPr w:rsidR="00CB2CD1" w:rsidRPr="00EB33FD" w:rsidSect="004F34DE">
      <w:footerReference w:type="even" r:id="rId11"/>
      <w:footerReference w:type="default" r:id="rId12"/>
      <w:footerReference w:type="first" r:id="rId13"/>
      <w:type w:val="continuous"/>
      <w:pgSz w:w="12240" w:h="15840"/>
      <w:pgMar w:top="1008" w:right="1440" w:bottom="864" w:left="1440" w:header="720" w:footer="96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D9" w:rsidRDefault="003F2FD9">
      <w:r>
        <w:separator/>
      </w:r>
    </w:p>
  </w:endnote>
  <w:endnote w:type="continuationSeparator" w:id="0">
    <w:p w:rsidR="003F2FD9" w:rsidRDefault="003F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82" w:rsidRDefault="00784FDD" w:rsidP="004F3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6A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A82" w:rsidRDefault="00A66A82" w:rsidP="004F34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7D" w:rsidRDefault="00784FDD">
    <w:pPr>
      <w:pStyle w:val="Footer"/>
      <w:jc w:val="right"/>
    </w:pPr>
    <w:fldSimple w:instr=" PAGE   \* MERGEFORMAT ">
      <w:r w:rsidR="00F07263">
        <w:rPr>
          <w:noProof/>
        </w:rPr>
        <w:t>3</w:t>
      </w:r>
    </w:fldSimple>
  </w:p>
  <w:p w:rsidR="00A66A82" w:rsidRDefault="00A66A82">
    <w:pPr>
      <w:pStyle w:val="Footer"/>
      <w:tabs>
        <w:tab w:val="clear" w:pos="4320"/>
        <w:tab w:val="clear" w:pos="8640"/>
        <w:tab w:val="center" w:pos="4680"/>
        <w:tab w:val="left" w:pos="9180"/>
      </w:tabs>
      <w:rPr>
        <w:rFonts w:ascii="Arial" w:hAnsi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FF" w:rsidRPr="002F07FF" w:rsidRDefault="002F07FF">
    <w:pPr>
      <w:pStyle w:val="Footer"/>
      <w:rPr>
        <w:rFonts w:ascii="Trebuchet MS" w:hAnsi="Trebuchet MS"/>
        <w:i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D9" w:rsidRDefault="003F2FD9">
      <w:r>
        <w:separator/>
      </w:r>
    </w:p>
  </w:footnote>
  <w:footnote w:type="continuationSeparator" w:id="0">
    <w:p w:rsidR="003F2FD9" w:rsidRDefault="003F2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36_"/>
      </v:shape>
    </w:pict>
  </w:numPicBullet>
  <w:abstractNum w:abstractNumId="0">
    <w:nsid w:val="061D2F96"/>
    <w:multiLevelType w:val="hybridMultilevel"/>
    <w:tmpl w:val="88ACCAA6"/>
    <w:lvl w:ilvl="0" w:tplc="64E2BA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B6D37"/>
    <w:multiLevelType w:val="hybridMultilevel"/>
    <w:tmpl w:val="249CF9C6"/>
    <w:lvl w:ilvl="0" w:tplc="F6525E4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53727"/>
    <w:multiLevelType w:val="hybridMultilevel"/>
    <w:tmpl w:val="9226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340"/>
    <w:multiLevelType w:val="hybridMultilevel"/>
    <w:tmpl w:val="9E2C67D4"/>
    <w:lvl w:ilvl="0" w:tplc="E95CF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64B6"/>
    <w:multiLevelType w:val="hybridMultilevel"/>
    <w:tmpl w:val="F1529246"/>
    <w:lvl w:ilvl="0" w:tplc="63729E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F6"/>
    <w:multiLevelType w:val="hybridMultilevel"/>
    <w:tmpl w:val="96804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C3F4D"/>
    <w:multiLevelType w:val="hybridMultilevel"/>
    <w:tmpl w:val="7FA8F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4794A"/>
    <w:multiLevelType w:val="hybridMultilevel"/>
    <w:tmpl w:val="982A2892"/>
    <w:lvl w:ilvl="0" w:tplc="63729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1CD41BA5"/>
    <w:multiLevelType w:val="hybridMultilevel"/>
    <w:tmpl w:val="9594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B0B43"/>
    <w:multiLevelType w:val="hybridMultilevel"/>
    <w:tmpl w:val="54DC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6E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A76406"/>
    <w:multiLevelType w:val="hybridMultilevel"/>
    <w:tmpl w:val="F8E632B4"/>
    <w:lvl w:ilvl="0" w:tplc="63729E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B2D76"/>
    <w:multiLevelType w:val="hybridMultilevel"/>
    <w:tmpl w:val="0BB8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56110"/>
    <w:multiLevelType w:val="hybridMultilevel"/>
    <w:tmpl w:val="4092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53F76"/>
    <w:multiLevelType w:val="hybridMultilevel"/>
    <w:tmpl w:val="C8B8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D3D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6171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403A22"/>
    <w:multiLevelType w:val="hybridMultilevel"/>
    <w:tmpl w:val="8A3A664A"/>
    <w:lvl w:ilvl="0" w:tplc="64E2BA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B11B1"/>
    <w:multiLevelType w:val="singleLevel"/>
    <w:tmpl w:val="17F2DE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AE944CC"/>
    <w:multiLevelType w:val="hybridMultilevel"/>
    <w:tmpl w:val="2258E556"/>
    <w:lvl w:ilvl="0" w:tplc="63729E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B70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135476C"/>
    <w:multiLevelType w:val="hybridMultilevel"/>
    <w:tmpl w:val="99F27CFC"/>
    <w:lvl w:ilvl="0" w:tplc="0018EE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90DD5"/>
    <w:multiLevelType w:val="hybridMultilevel"/>
    <w:tmpl w:val="8272E676"/>
    <w:lvl w:ilvl="0" w:tplc="DAD24B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6C7991"/>
    <w:multiLevelType w:val="hybridMultilevel"/>
    <w:tmpl w:val="2E3AB65E"/>
    <w:lvl w:ilvl="0" w:tplc="E95CF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B171E"/>
    <w:multiLevelType w:val="hybridMultilevel"/>
    <w:tmpl w:val="041876D0"/>
    <w:lvl w:ilvl="0" w:tplc="63729E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9055FD"/>
    <w:multiLevelType w:val="hybridMultilevel"/>
    <w:tmpl w:val="20084046"/>
    <w:lvl w:ilvl="0" w:tplc="63729E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E6095"/>
    <w:multiLevelType w:val="hybridMultilevel"/>
    <w:tmpl w:val="130C1392"/>
    <w:lvl w:ilvl="0" w:tplc="CAE437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780C66"/>
    <w:multiLevelType w:val="hybridMultilevel"/>
    <w:tmpl w:val="C7A0F9FA"/>
    <w:lvl w:ilvl="0" w:tplc="E95CF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22D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B77FD2"/>
    <w:multiLevelType w:val="hybridMultilevel"/>
    <w:tmpl w:val="FA4A887A"/>
    <w:lvl w:ilvl="0" w:tplc="63729E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822B79"/>
    <w:multiLevelType w:val="singleLevel"/>
    <w:tmpl w:val="AFEA3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BFF03DD"/>
    <w:multiLevelType w:val="hybridMultilevel"/>
    <w:tmpl w:val="2B84C2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E2BA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CE78E6"/>
    <w:multiLevelType w:val="hybridMultilevel"/>
    <w:tmpl w:val="5B1011B6"/>
    <w:lvl w:ilvl="0" w:tplc="9D1A95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0224351"/>
    <w:multiLevelType w:val="hybridMultilevel"/>
    <w:tmpl w:val="5C58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A27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81423D4"/>
    <w:multiLevelType w:val="hybridMultilevel"/>
    <w:tmpl w:val="507E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C253C"/>
    <w:multiLevelType w:val="hybridMultilevel"/>
    <w:tmpl w:val="3C96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772BD"/>
    <w:multiLevelType w:val="singleLevel"/>
    <w:tmpl w:val="17F2DE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E14185"/>
    <w:multiLevelType w:val="hybridMultilevel"/>
    <w:tmpl w:val="95649DD4"/>
    <w:lvl w:ilvl="0" w:tplc="63729E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0E7B85"/>
    <w:multiLevelType w:val="singleLevel"/>
    <w:tmpl w:val="0018E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3D1735C"/>
    <w:multiLevelType w:val="hybridMultilevel"/>
    <w:tmpl w:val="C62659D4"/>
    <w:lvl w:ilvl="0" w:tplc="64E2BA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B400D0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622451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>
    <w:nsid w:val="77B07B0E"/>
    <w:multiLevelType w:val="hybridMultilevel"/>
    <w:tmpl w:val="273C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A2319"/>
    <w:multiLevelType w:val="hybridMultilevel"/>
    <w:tmpl w:val="4DE00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A40477"/>
    <w:multiLevelType w:val="hybridMultilevel"/>
    <w:tmpl w:val="E9F86654"/>
    <w:lvl w:ilvl="0" w:tplc="CAE437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1A7D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41"/>
  </w:num>
  <w:num w:numId="4">
    <w:abstractNumId w:val="28"/>
  </w:num>
  <w:num w:numId="5">
    <w:abstractNumId w:val="30"/>
  </w:num>
  <w:num w:numId="6">
    <w:abstractNumId w:val="10"/>
  </w:num>
  <w:num w:numId="7">
    <w:abstractNumId w:val="34"/>
  </w:num>
  <w:num w:numId="8">
    <w:abstractNumId w:val="37"/>
  </w:num>
  <w:num w:numId="9">
    <w:abstractNumId w:val="18"/>
  </w:num>
  <w:num w:numId="10">
    <w:abstractNumId w:val="39"/>
  </w:num>
  <w:num w:numId="11">
    <w:abstractNumId w:val="45"/>
  </w:num>
  <w:num w:numId="12">
    <w:abstractNumId w:val="20"/>
  </w:num>
  <w:num w:numId="13">
    <w:abstractNumId w:val="5"/>
  </w:num>
  <w:num w:numId="14">
    <w:abstractNumId w:val="43"/>
  </w:num>
  <w:num w:numId="15">
    <w:abstractNumId w:val="0"/>
  </w:num>
  <w:num w:numId="16">
    <w:abstractNumId w:val="40"/>
  </w:num>
  <w:num w:numId="17">
    <w:abstractNumId w:val="6"/>
  </w:num>
  <w:num w:numId="18">
    <w:abstractNumId w:val="21"/>
  </w:num>
  <w:num w:numId="19">
    <w:abstractNumId w:val="44"/>
  </w:num>
  <w:num w:numId="20">
    <w:abstractNumId w:val="35"/>
  </w:num>
  <w:num w:numId="21">
    <w:abstractNumId w:val="26"/>
  </w:num>
  <w:num w:numId="22">
    <w:abstractNumId w:val="38"/>
  </w:num>
  <w:num w:numId="23">
    <w:abstractNumId w:val="11"/>
  </w:num>
  <w:num w:numId="24">
    <w:abstractNumId w:val="24"/>
  </w:num>
  <w:num w:numId="25">
    <w:abstractNumId w:val="29"/>
  </w:num>
  <w:num w:numId="26">
    <w:abstractNumId w:val="4"/>
  </w:num>
  <w:num w:numId="27">
    <w:abstractNumId w:val="25"/>
  </w:num>
  <w:num w:numId="28">
    <w:abstractNumId w:val="1"/>
  </w:num>
  <w:num w:numId="29">
    <w:abstractNumId w:val="31"/>
  </w:num>
  <w:num w:numId="30">
    <w:abstractNumId w:val="7"/>
  </w:num>
  <w:num w:numId="31">
    <w:abstractNumId w:val="13"/>
  </w:num>
  <w:num w:numId="32">
    <w:abstractNumId w:val="17"/>
  </w:num>
  <w:num w:numId="33">
    <w:abstractNumId w:val="8"/>
  </w:num>
  <w:num w:numId="34">
    <w:abstractNumId w:val="42"/>
  </w:num>
  <w:num w:numId="35">
    <w:abstractNumId w:val="12"/>
  </w:num>
  <w:num w:numId="36">
    <w:abstractNumId w:val="22"/>
  </w:num>
  <w:num w:numId="37">
    <w:abstractNumId w:val="14"/>
  </w:num>
  <w:num w:numId="38">
    <w:abstractNumId w:val="32"/>
  </w:num>
  <w:num w:numId="39">
    <w:abstractNumId w:val="36"/>
  </w:num>
  <w:num w:numId="40">
    <w:abstractNumId w:val="2"/>
  </w:num>
  <w:num w:numId="41">
    <w:abstractNumId w:val="9"/>
  </w:num>
  <w:num w:numId="42">
    <w:abstractNumId w:val="23"/>
  </w:num>
  <w:num w:numId="43">
    <w:abstractNumId w:val="19"/>
  </w:num>
  <w:num w:numId="44">
    <w:abstractNumId w:val="27"/>
  </w:num>
  <w:num w:numId="45">
    <w:abstractNumId w:val="3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C29"/>
    <w:rsid w:val="00014E1C"/>
    <w:rsid w:val="00017EE4"/>
    <w:rsid w:val="00022FBD"/>
    <w:rsid w:val="00037762"/>
    <w:rsid w:val="00040184"/>
    <w:rsid w:val="0004324C"/>
    <w:rsid w:val="00050A46"/>
    <w:rsid w:val="000514D4"/>
    <w:rsid w:val="00053CD6"/>
    <w:rsid w:val="00053E0A"/>
    <w:rsid w:val="00066F0F"/>
    <w:rsid w:val="00080B37"/>
    <w:rsid w:val="00081E5C"/>
    <w:rsid w:val="000C21A6"/>
    <w:rsid w:val="000D2059"/>
    <w:rsid w:val="000D5AD1"/>
    <w:rsid w:val="001064A7"/>
    <w:rsid w:val="00120C65"/>
    <w:rsid w:val="001233BB"/>
    <w:rsid w:val="00132E27"/>
    <w:rsid w:val="001416E7"/>
    <w:rsid w:val="001444CB"/>
    <w:rsid w:val="00162A21"/>
    <w:rsid w:val="00176D8A"/>
    <w:rsid w:val="001A0214"/>
    <w:rsid w:val="001A1D0F"/>
    <w:rsid w:val="001B1F93"/>
    <w:rsid w:val="001B3EA6"/>
    <w:rsid w:val="001C3A49"/>
    <w:rsid w:val="001C5EA4"/>
    <w:rsid w:val="001C7F2F"/>
    <w:rsid w:val="001F0834"/>
    <w:rsid w:val="001F5C01"/>
    <w:rsid w:val="00214DFF"/>
    <w:rsid w:val="00231B33"/>
    <w:rsid w:val="00254DC3"/>
    <w:rsid w:val="00264DD6"/>
    <w:rsid w:val="00266E0B"/>
    <w:rsid w:val="00281403"/>
    <w:rsid w:val="002873CC"/>
    <w:rsid w:val="002926BB"/>
    <w:rsid w:val="002A5B1A"/>
    <w:rsid w:val="002D425B"/>
    <w:rsid w:val="002D5D76"/>
    <w:rsid w:val="002E1769"/>
    <w:rsid w:val="002F07FF"/>
    <w:rsid w:val="002F37FA"/>
    <w:rsid w:val="00320BB6"/>
    <w:rsid w:val="00323561"/>
    <w:rsid w:val="00331B4D"/>
    <w:rsid w:val="00337FEB"/>
    <w:rsid w:val="00355623"/>
    <w:rsid w:val="00364D4D"/>
    <w:rsid w:val="003667B6"/>
    <w:rsid w:val="00373A08"/>
    <w:rsid w:val="003939F5"/>
    <w:rsid w:val="00395F4C"/>
    <w:rsid w:val="00396AA9"/>
    <w:rsid w:val="003A673B"/>
    <w:rsid w:val="003B7BD6"/>
    <w:rsid w:val="003C3A3D"/>
    <w:rsid w:val="003F04A4"/>
    <w:rsid w:val="003F2FD9"/>
    <w:rsid w:val="00401893"/>
    <w:rsid w:val="00411270"/>
    <w:rsid w:val="004166FB"/>
    <w:rsid w:val="004170FE"/>
    <w:rsid w:val="00426AC0"/>
    <w:rsid w:val="0043202D"/>
    <w:rsid w:val="00440718"/>
    <w:rsid w:val="0044450C"/>
    <w:rsid w:val="00455ACF"/>
    <w:rsid w:val="0046238F"/>
    <w:rsid w:val="00466511"/>
    <w:rsid w:val="00470868"/>
    <w:rsid w:val="004708F6"/>
    <w:rsid w:val="00472077"/>
    <w:rsid w:val="004735F0"/>
    <w:rsid w:val="00484275"/>
    <w:rsid w:val="004B7BB6"/>
    <w:rsid w:val="004C54C0"/>
    <w:rsid w:val="004D2BAB"/>
    <w:rsid w:val="004D3FAC"/>
    <w:rsid w:val="004E37C7"/>
    <w:rsid w:val="004F34DE"/>
    <w:rsid w:val="004F4D72"/>
    <w:rsid w:val="00502F01"/>
    <w:rsid w:val="005053AF"/>
    <w:rsid w:val="0052449A"/>
    <w:rsid w:val="00557B95"/>
    <w:rsid w:val="00564C0A"/>
    <w:rsid w:val="0057478A"/>
    <w:rsid w:val="00574EB4"/>
    <w:rsid w:val="00580DDE"/>
    <w:rsid w:val="0058148D"/>
    <w:rsid w:val="00594588"/>
    <w:rsid w:val="005971D2"/>
    <w:rsid w:val="005A0DB7"/>
    <w:rsid w:val="005A2322"/>
    <w:rsid w:val="005A27E9"/>
    <w:rsid w:val="005D12AD"/>
    <w:rsid w:val="005E07CE"/>
    <w:rsid w:val="005E3032"/>
    <w:rsid w:val="005E308A"/>
    <w:rsid w:val="005E4D41"/>
    <w:rsid w:val="00613F83"/>
    <w:rsid w:val="006338DC"/>
    <w:rsid w:val="006410BD"/>
    <w:rsid w:val="00652414"/>
    <w:rsid w:val="00654B07"/>
    <w:rsid w:val="00675FF4"/>
    <w:rsid w:val="006812B6"/>
    <w:rsid w:val="00685E23"/>
    <w:rsid w:val="00687C4B"/>
    <w:rsid w:val="006B4ED3"/>
    <w:rsid w:val="006D1C44"/>
    <w:rsid w:val="006D2BB5"/>
    <w:rsid w:val="006E4FEE"/>
    <w:rsid w:val="007149FA"/>
    <w:rsid w:val="00721568"/>
    <w:rsid w:val="00736590"/>
    <w:rsid w:val="00743716"/>
    <w:rsid w:val="00782896"/>
    <w:rsid w:val="00784FDD"/>
    <w:rsid w:val="00786638"/>
    <w:rsid w:val="007D1371"/>
    <w:rsid w:val="007F36D7"/>
    <w:rsid w:val="00804C43"/>
    <w:rsid w:val="00812314"/>
    <w:rsid w:val="00817F86"/>
    <w:rsid w:val="00824FAF"/>
    <w:rsid w:val="00853993"/>
    <w:rsid w:val="00856160"/>
    <w:rsid w:val="00860D6B"/>
    <w:rsid w:val="008963ED"/>
    <w:rsid w:val="0089793F"/>
    <w:rsid w:val="008D608D"/>
    <w:rsid w:val="008E2A5D"/>
    <w:rsid w:val="008F1182"/>
    <w:rsid w:val="00904DF9"/>
    <w:rsid w:val="0092203E"/>
    <w:rsid w:val="00931581"/>
    <w:rsid w:val="009506CD"/>
    <w:rsid w:val="009730F3"/>
    <w:rsid w:val="00980581"/>
    <w:rsid w:val="00984DBF"/>
    <w:rsid w:val="0098537B"/>
    <w:rsid w:val="00991F96"/>
    <w:rsid w:val="009A57B2"/>
    <w:rsid w:val="009A64DC"/>
    <w:rsid w:val="009B78DC"/>
    <w:rsid w:val="009B7C3D"/>
    <w:rsid w:val="009D05D9"/>
    <w:rsid w:val="009D6D8A"/>
    <w:rsid w:val="009E0639"/>
    <w:rsid w:val="009E0BE6"/>
    <w:rsid w:val="009F29A2"/>
    <w:rsid w:val="009F2FC2"/>
    <w:rsid w:val="00A15B52"/>
    <w:rsid w:val="00A3334D"/>
    <w:rsid w:val="00A338DE"/>
    <w:rsid w:val="00A374F1"/>
    <w:rsid w:val="00A406D1"/>
    <w:rsid w:val="00A52A7D"/>
    <w:rsid w:val="00A66A82"/>
    <w:rsid w:val="00A7569E"/>
    <w:rsid w:val="00A8042D"/>
    <w:rsid w:val="00A81A9B"/>
    <w:rsid w:val="00A82F5A"/>
    <w:rsid w:val="00A86C29"/>
    <w:rsid w:val="00A93DCC"/>
    <w:rsid w:val="00AA1106"/>
    <w:rsid w:val="00AB4237"/>
    <w:rsid w:val="00AB57EB"/>
    <w:rsid w:val="00AC5A7E"/>
    <w:rsid w:val="00AD69EA"/>
    <w:rsid w:val="00AE716A"/>
    <w:rsid w:val="00AF3057"/>
    <w:rsid w:val="00AF40FE"/>
    <w:rsid w:val="00B2659E"/>
    <w:rsid w:val="00B47206"/>
    <w:rsid w:val="00B51B13"/>
    <w:rsid w:val="00B620B6"/>
    <w:rsid w:val="00B65821"/>
    <w:rsid w:val="00B81900"/>
    <w:rsid w:val="00B841DA"/>
    <w:rsid w:val="00BA19BE"/>
    <w:rsid w:val="00BD61B8"/>
    <w:rsid w:val="00BE7121"/>
    <w:rsid w:val="00BF2A29"/>
    <w:rsid w:val="00BF4A13"/>
    <w:rsid w:val="00BF4C79"/>
    <w:rsid w:val="00C04C54"/>
    <w:rsid w:val="00C07FEF"/>
    <w:rsid w:val="00C243BA"/>
    <w:rsid w:val="00C31168"/>
    <w:rsid w:val="00C351A5"/>
    <w:rsid w:val="00C71C01"/>
    <w:rsid w:val="00C764F4"/>
    <w:rsid w:val="00C77116"/>
    <w:rsid w:val="00C80098"/>
    <w:rsid w:val="00C828D9"/>
    <w:rsid w:val="00C85318"/>
    <w:rsid w:val="00C877D4"/>
    <w:rsid w:val="00C97029"/>
    <w:rsid w:val="00CA4C0D"/>
    <w:rsid w:val="00CB2CD1"/>
    <w:rsid w:val="00CC7666"/>
    <w:rsid w:val="00CF5098"/>
    <w:rsid w:val="00D14126"/>
    <w:rsid w:val="00D1509E"/>
    <w:rsid w:val="00D468D8"/>
    <w:rsid w:val="00D51DD2"/>
    <w:rsid w:val="00D63877"/>
    <w:rsid w:val="00D63DA4"/>
    <w:rsid w:val="00D74F71"/>
    <w:rsid w:val="00D7672A"/>
    <w:rsid w:val="00D80BC4"/>
    <w:rsid w:val="00D81168"/>
    <w:rsid w:val="00DA395C"/>
    <w:rsid w:val="00DA7238"/>
    <w:rsid w:val="00DB2078"/>
    <w:rsid w:val="00DC1CD4"/>
    <w:rsid w:val="00DD0088"/>
    <w:rsid w:val="00DF3209"/>
    <w:rsid w:val="00E00500"/>
    <w:rsid w:val="00E07407"/>
    <w:rsid w:val="00E17144"/>
    <w:rsid w:val="00E216B0"/>
    <w:rsid w:val="00E41EDD"/>
    <w:rsid w:val="00E61F04"/>
    <w:rsid w:val="00E61FA7"/>
    <w:rsid w:val="00E63C24"/>
    <w:rsid w:val="00E657F4"/>
    <w:rsid w:val="00E759DD"/>
    <w:rsid w:val="00E9008C"/>
    <w:rsid w:val="00EA0D83"/>
    <w:rsid w:val="00EB0D92"/>
    <w:rsid w:val="00EB33FD"/>
    <w:rsid w:val="00ED6B46"/>
    <w:rsid w:val="00EE1DA4"/>
    <w:rsid w:val="00EE5A58"/>
    <w:rsid w:val="00EF1EF5"/>
    <w:rsid w:val="00EF5DCB"/>
    <w:rsid w:val="00F07263"/>
    <w:rsid w:val="00F12EAB"/>
    <w:rsid w:val="00F47676"/>
    <w:rsid w:val="00F55056"/>
    <w:rsid w:val="00F668C8"/>
    <w:rsid w:val="00F874B1"/>
    <w:rsid w:val="00F91CE2"/>
    <w:rsid w:val="00F95CBF"/>
    <w:rsid w:val="00FB51BA"/>
    <w:rsid w:val="00FD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652414"/>
    <w:pPr>
      <w:tabs>
        <w:tab w:val="left" w:pos="9000"/>
        <w:tab w:val="right" w:pos="9360"/>
      </w:tabs>
      <w:suppressAutoHyphens/>
    </w:pPr>
    <w:rPr>
      <w:sz w:val="24"/>
    </w:rPr>
  </w:style>
  <w:style w:type="paragraph" w:styleId="Footer">
    <w:name w:val="footer"/>
    <w:basedOn w:val="Normal"/>
    <w:link w:val="FooterChar"/>
    <w:uiPriority w:val="99"/>
    <w:rsid w:val="00652414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652414"/>
  </w:style>
  <w:style w:type="paragraph" w:styleId="BodyText">
    <w:name w:val="Body Text"/>
    <w:basedOn w:val="Normal"/>
    <w:rsid w:val="00CB2CD1"/>
    <w:pPr>
      <w:widowControl w:val="0"/>
      <w:jc w:val="both"/>
    </w:pPr>
    <w:rPr>
      <w:rFonts w:ascii="CG Times" w:hAnsi="CG Times"/>
      <w:snapToGrid w:val="0"/>
      <w:sz w:val="24"/>
    </w:rPr>
  </w:style>
  <w:style w:type="character" w:styleId="Hyperlink">
    <w:name w:val="Hyperlink"/>
    <w:basedOn w:val="DefaultParagraphFont"/>
    <w:rsid w:val="00CB2CD1"/>
    <w:rPr>
      <w:color w:val="0000FF"/>
      <w:u w:val="single"/>
    </w:rPr>
  </w:style>
  <w:style w:type="paragraph" w:styleId="BalloonText">
    <w:name w:val="Balloon Text"/>
    <w:basedOn w:val="Normal"/>
    <w:semiHidden/>
    <w:rsid w:val="009220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D425B"/>
  </w:style>
  <w:style w:type="paragraph" w:customStyle="1" w:styleId="Default">
    <w:name w:val="Default"/>
    <w:rsid w:val="002926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0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7FF"/>
  </w:style>
  <w:style w:type="character" w:customStyle="1" w:styleId="FooterChar">
    <w:name w:val="Footer Char"/>
    <w:basedOn w:val="DefaultParagraphFont"/>
    <w:link w:val="Footer"/>
    <w:uiPriority w:val="99"/>
    <w:rsid w:val="002F07FF"/>
    <w:rPr>
      <w:sz w:val="24"/>
    </w:rPr>
  </w:style>
  <w:style w:type="paragraph" w:styleId="ListParagraph">
    <w:name w:val="List Paragraph"/>
    <w:basedOn w:val="Normal"/>
    <w:uiPriority w:val="34"/>
    <w:qFormat/>
    <w:rsid w:val="00D5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ergyandwatereconomic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FB9F7-1CFB-4F1A-A2EB-8B850BD0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W</vt:lpstr>
    </vt:vector>
  </TitlesOfParts>
  <Company>Microsoft</Company>
  <LinksUpToDate>false</LinksUpToDate>
  <CharactersWithSpaces>11345</CharactersWithSpaces>
  <SharedDoc>false</SharedDoc>
  <HLinks>
    <vt:vector size="6" baseType="variant"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http://www.energyandwatereconomics.com/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W</dc:title>
  <dc:creator>William W. Wade</dc:creator>
  <cp:lastModifiedBy>Bill Office</cp:lastModifiedBy>
  <cp:revision>3</cp:revision>
  <cp:lastPrinted>2011-04-15T20:47:00Z</cp:lastPrinted>
  <dcterms:created xsi:type="dcterms:W3CDTF">2015-08-18T16:19:00Z</dcterms:created>
  <dcterms:modified xsi:type="dcterms:W3CDTF">2015-09-14T20:18:00Z</dcterms:modified>
</cp:coreProperties>
</file>